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3A6" w:rsidRDefault="002C24E2">
      <w:pPr>
        <w:widowControl/>
        <w:shd w:val="clear" w:color="auto" w:fill="FFFFFF"/>
        <w:jc w:val="center"/>
        <w:outlineLvl w:val="1"/>
        <w:rPr>
          <w:rFonts w:ascii="microsoft yahei" w:eastAsia="宋体" w:hAnsi="microsoft yahei" w:cs="宋体" w:hint="eastAsia"/>
          <w:color w:val="666666"/>
          <w:kern w:val="0"/>
          <w:szCs w:val="21"/>
        </w:rPr>
      </w:pPr>
      <w:r>
        <w:rPr>
          <w:rFonts w:ascii="microsoft yahei" w:eastAsia="宋体" w:hAnsi="microsoft yahei" w:cs="宋体"/>
          <w:b/>
          <w:bCs/>
          <w:color w:val="015293"/>
          <w:kern w:val="0"/>
          <w:sz w:val="39"/>
          <w:szCs w:val="39"/>
        </w:rPr>
        <w:t>乌石镇</w:t>
      </w:r>
      <w:r>
        <w:rPr>
          <w:rFonts w:ascii="microsoft yahei" w:eastAsia="宋体" w:hAnsi="microsoft yahei" w:cs="宋体" w:hint="eastAsia"/>
          <w:b/>
          <w:bCs/>
          <w:color w:val="015293"/>
          <w:kern w:val="0"/>
          <w:sz w:val="39"/>
          <w:szCs w:val="39"/>
        </w:rPr>
        <w:t>人民政府</w:t>
      </w:r>
      <w:r>
        <w:rPr>
          <w:rFonts w:ascii="microsoft yahei" w:eastAsia="宋体" w:hAnsi="microsoft yahei" w:cs="宋体"/>
          <w:b/>
          <w:bCs/>
          <w:color w:val="015293"/>
          <w:kern w:val="0"/>
          <w:sz w:val="39"/>
          <w:szCs w:val="39"/>
        </w:rPr>
        <w:t>20</w:t>
      </w:r>
      <w:r>
        <w:rPr>
          <w:rFonts w:ascii="microsoft yahei" w:eastAsia="宋体" w:hAnsi="microsoft yahei" w:cs="宋体" w:hint="eastAsia"/>
          <w:b/>
          <w:bCs/>
          <w:color w:val="015293"/>
          <w:kern w:val="0"/>
          <w:sz w:val="39"/>
          <w:szCs w:val="39"/>
        </w:rPr>
        <w:t>20</w:t>
      </w:r>
      <w:r>
        <w:rPr>
          <w:rFonts w:ascii="microsoft yahei" w:eastAsia="宋体" w:hAnsi="microsoft yahei" w:cs="宋体"/>
          <w:b/>
          <w:bCs/>
          <w:color w:val="015293"/>
          <w:kern w:val="0"/>
          <w:sz w:val="39"/>
          <w:szCs w:val="39"/>
        </w:rPr>
        <w:t>年政府信息公开</w:t>
      </w:r>
      <w:r w:rsidR="00E93AA4">
        <w:rPr>
          <w:rFonts w:ascii="microsoft yahei" w:eastAsia="宋体" w:hAnsi="microsoft yahei" w:cs="宋体" w:hint="eastAsia"/>
          <w:b/>
          <w:bCs/>
          <w:color w:val="015293"/>
          <w:kern w:val="0"/>
          <w:sz w:val="39"/>
          <w:szCs w:val="39"/>
        </w:rPr>
        <w:t>工作</w:t>
      </w:r>
      <w:r>
        <w:rPr>
          <w:rFonts w:ascii="microsoft yahei" w:eastAsia="宋体" w:hAnsi="microsoft yahei" w:cs="宋体"/>
          <w:b/>
          <w:bCs/>
          <w:color w:val="015293"/>
          <w:kern w:val="0"/>
          <w:sz w:val="39"/>
          <w:szCs w:val="39"/>
        </w:rPr>
        <w:t>年度报告</w:t>
      </w:r>
    </w:p>
    <w:p w:rsidR="00E723A6" w:rsidRDefault="002C24E2">
      <w:pPr>
        <w:widowControl/>
        <w:shd w:val="clear" w:color="auto" w:fill="FFFFFF"/>
        <w:spacing w:line="480" w:lineRule="auto"/>
        <w:ind w:firstLine="480"/>
        <w:rPr>
          <w:rFonts w:ascii="宋体" w:eastAsia="宋体" w:hAnsi="宋体" w:cs="宋体"/>
          <w:color w:val="333333"/>
          <w:kern w:val="0"/>
          <w:sz w:val="24"/>
          <w:szCs w:val="24"/>
        </w:rPr>
      </w:pPr>
      <w:r>
        <w:rPr>
          <w:rFonts w:ascii="宋体" w:eastAsia="宋体" w:hAnsi="宋体" w:cs="宋体"/>
          <w:color w:val="333333"/>
          <w:kern w:val="0"/>
          <w:sz w:val="24"/>
          <w:szCs w:val="24"/>
        </w:rPr>
        <w:t>根据《中华人民共和国政府信息公开条例》（以下简称《条例》），特向社会公布20</w:t>
      </w:r>
      <w:r>
        <w:rPr>
          <w:rFonts w:ascii="宋体" w:eastAsia="宋体" w:hAnsi="宋体" w:cs="宋体" w:hint="eastAsia"/>
          <w:color w:val="333333"/>
          <w:kern w:val="0"/>
          <w:sz w:val="24"/>
          <w:szCs w:val="24"/>
        </w:rPr>
        <w:t>20</w:t>
      </w:r>
      <w:r>
        <w:rPr>
          <w:rFonts w:ascii="宋体" w:eastAsia="宋体" w:hAnsi="宋体" w:cs="宋体"/>
          <w:color w:val="333333"/>
          <w:kern w:val="0"/>
          <w:sz w:val="24"/>
          <w:szCs w:val="24"/>
        </w:rPr>
        <w:t>年度本单位信息公开</w:t>
      </w:r>
      <w:r w:rsidR="00E95FFC">
        <w:rPr>
          <w:rFonts w:ascii="宋体" w:eastAsia="宋体" w:hAnsi="宋体" w:cs="宋体" w:hint="eastAsia"/>
          <w:color w:val="333333"/>
          <w:kern w:val="0"/>
          <w:sz w:val="24"/>
          <w:szCs w:val="24"/>
        </w:rPr>
        <w:t>工作</w:t>
      </w:r>
      <w:r>
        <w:rPr>
          <w:rFonts w:ascii="宋体" w:eastAsia="宋体" w:hAnsi="宋体" w:cs="宋体"/>
          <w:color w:val="333333"/>
          <w:kern w:val="0"/>
          <w:sz w:val="24"/>
          <w:szCs w:val="24"/>
        </w:rPr>
        <w:t>年度报告。本报告由总体情况、主动公开政府信息情况、收到和处理政府信息公开申请情况、政府信息公开行政复议行政诉讼情况、存在的主要问题及改进情况等部分组成。本报告中所列数据的统计期限自20</w:t>
      </w:r>
      <w:r>
        <w:rPr>
          <w:rFonts w:ascii="宋体" w:eastAsia="宋体" w:hAnsi="宋体" w:cs="宋体" w:hint="eastAsia"/>
          <w:color w:val="333333"/>
          <w:kern w:val="0"/>
          <w:sz w:val="24"/>
          <w:szCs w:val="24"/>
        </w:rPr>
        <w:t>20</w:t>
      </w:r>
      <w:r>
        <w:rPr>
          <w:rFonts w:ascii="宋体" w:eastAsia="宋体" w:hAnsi="宋体" w:cs="宋体"/>
          <w:color w:val="333333"/>
          <w:kern w:val="0"/>
          <w:sz w:val="24"/>
          <w:szCs w:val="24"/>
        </w:rPr>
        <w:t>年1月1日起至20</w:t>
      </w:r>
      <w:r>
        <w:rPr>
          <w:rFonts w:ascii="宋体" w:eastAsia="宋体" w:hAnsi="宋体" w:cs="宋体" w:hint="eastAsia"/>
          <w:color w:val="333333"/>
          <w:kern w:val="0"/>
          <w:sz w:val="24"/>
          <w:szCs w:val="24"/>
        </w:rPr>
        <w:t>20</w:t>
      </w:r>
      <w:r>
        <w:rPr>
          <w:rFonts w:ascii="宋体" w:eastAsia="宋体" w:hAnsi="宋体" w:cs="宋体"/>
          <w:color w:val="333333"/>
          <w:kern w:val="0"/>
          <w:sz w:val="24"/>
          <w:szCs w:val="24"/>
        </w:rPr>
        <w:t>年12月31日止。如对本年度报告有任何疑问，请联系湘潭县乌石镇政务公开领导小组办公室（电话：0731-57838001）。</w:t>
      </w:r>
    </w:p>
    <w:p w:rsidR="00E723A6" w:rsidRDefault="002C24E2">
      <w:pPr>
        <w:widowControl/>
        <w:numPr>
          <w:ilvl w:val="0"/>
          <w:numId w:val="1"/>
        </w:numPr>
        <w:shd w:val="clear" w:color="auto" w:fill="FFFFFF"/>
        <w:spacing w:line="480" w:lineRule="auto"/>
        <w:ind w:firstLine="480"/>
        <w:rPr>
          <w:rFonts w:ascii="宋体" w:eastAsia="宋体" w:hAnsi="宋体" w:cs="宋体"/>
          <w:color w:val="333333"/>
          <w:kern w:val="0"/>
          <w:sz w:val="24"/>
          <w:szCs w:val="24"/>
        </w:rPr>
      </w:pPr>
      <w:r>
        <w:rPr>
          <w:rFonts w:ascii="宋体" w:eastAsia="宋体" w:hAnsi="宋体" w:cs="宋体" w:hint="eastAsia"/>
          <w:color w:val="333333"/>
          <w:kern w:val="0"/>
          <w:sz w:val="24"/>
          <w:szCs w:val="24"/>
        </w:rPr>
        <w:t>总体情况</w:t>
      </w:r>
    </w:p>
    <w:p w:rsidR="00E723A6" w:rsidRDefault="002C24E2">
      <w:pPr>
        <w:widowControl/>
        <w:shd w:val="clear" w:color="auto" w:fill="FFFFFF"/>
        <w:spacing w:line="480" w:lineRule="auto"/>
        <w:ind w:firstLineChars="200" w:firstLine="480"/>
        <w:rPr>
          <w:rFonts w:ascii="宋体" w:eastAsia="宋体" w:hAnsi="宋体" w:cs="宋体"/>
          <w:color w:val="333333"/>
          <w:kern w:val="0"/>
          <w:sz w:val="24"/>
          <w:szCs w:val="24"/>
        </w:rPr>
      </w:pPr>
      <w:r>
        <w:rPr>
          <w:rFonts w:ascii="宋体" w:eastAsia="宋体" w:hAnsi="宋体" w:cs="宋体"/>
          <w:color w:val="333333"/>
          <w:kern w:val="0"/>
          <w:sz w:val="24"/>
          <w:szCs w:val="24"/>
        </w:rPr>
        <w:t>按照上级部门政府信息公开工作部署，推进政府信息公开是乌石镇人民政府贯彻落实《中华人民共和国政府信息公开条例》的重要举措，是深入推行政务公开、转变政府职能、实现管理创新、建设服务型政府的一项重要工作。结合我镇工作实际，认真开展政府信息公开工作,现将年度政府信息公开工作开展情况总结如下：</w:t>
      </w:r>
    </w:p>
    <w:p w:rsidR="00E723A6" w:rsidRDefault="002C24E2">
      <w:pPr>
        <w:widowControl/>
        <w:shd w:val="clear" w:color="auto" w:fill="FFFFFF"/>
        <w:spacing w:line="480" w:lineRule="auto"/>
        <w:ind w:firstLine="480"/>
        <w:rPr>
          <w:rFonts w:ascii="宋体" w:eastAsia="宋体" w:hAnsi="宋体" w:cs="宋体"/>
          <w:color w:val="333333"/>
          <w:kern w:val="0"/>
          <w:sz w:val="24"/>
          <w:szCs w:val="24"/>
        </w:rPr>
      </w:pPr>
      <w:r>
        <w:rPr>
          <w:rFonts w:ascii="宋体" w:eastAsia="宋体" w:hAnsi="宋体" w:cs="宋体"/>
          <w:color w:val="333333"/>
          <w:kern w:val="0"/>
          <w:sz w:val="24"/>
          <w:szCs w:val="24"/>
        </w:rPr>
        <w:t>（一）加强组织领导</w:t>
      </w:r>
    </w:p>
    <w:p w:rsidR="00E723A6" w:rsidRDefault="002C24E2">
      <w:pPr>
        <w:widowControl/>
        <w:shd w:val="clear" w:color="auto" w:fill="FFFFFF"/>
        <w:spacing w:line="480" w:lineRule="auto"/>
        <w:ind w:firstLine="480"/>
        <w:rPr>
          <w:rFonts w:ascii="宋体" w:eastAsia="宋体" w:hAnsi="宋体" w:cs="宋体"/>
          <w:color w:val="333333"/>
          <w:kern w:val="0"/>
          <w:sz w:val="24"/>
          <w:szCs w:val="24"/>
        </w:rPr>
      </w:pPr>
      <w:r>
        <w:rPr>
          <w:rFonts w:ascii="宋体" w:eastAsia="宋体" w:hAnsi="宋体" w:cs="宋体"/>
          <w:color w:val="333333"/>
          <w:kern w:val="0"/>
          <w:sz w:val="24"/>
          <w:szCs w:val="24"/>
        </w:rPr>
        <w:t>坚持狠抓政府信息公开组织体系建设把政府信息公开列为全镇工作的一项重要内容，组织召开专题会议，对信息公开工作进行全面部署，广泛宣传政府信息公开工作，提出具体要求，让群众深入了解，积极参与监督。</w:t>
      </w:r>
    </w:p>
    <w:p w:rsidR="00E723A6" w:rsidRDefault="002C24E2">
      <w:pPr>
        <w:widowControl/>
        <w:shd w:val="clear" w:color="auto" w:fill="FFFFFF"/>
        <w:spacing w:line="480" w:lineRule="auto"/>
        <w:ind w:firstLine="480"/>
        <w:rPr>
          <w:rFonts w:ascii="宋体" w:eastAsia="宋体" w:hAnsi="宋体" w:cs="宋体"/>
          <w:color w:val="333333"/>
          <w:kern w:val="0"/>
          <w:sz w:val="24"/>
          <w:szCs w:val="24"/>
        </w:rPr>
      </w:pPr>
      <w:r>
        <w:rPr>
          <w:rFonts w:ascii="宋体" w:eastAsia="宋体" w:hAnsi="宋体" w:cs="宋体"/>
          <w:color w:val="333333"/>
          <w:kern w:val="0"/>
          <w:sz w:val="24"/>
          <w:szCs w:val="24"/>
        </w:rPr>
        <w:t>（二）主动开展信息公开</w:t>
      </w:r>
    </w:p>
    <w:p w:rsidR="00E723A6" w:rsidRDefault="002C24E2">
      <w:pPr>
        <w:widowControl/>
        <w:shd w:val="clear" w:color="auto" w:fill="FFFFFF"/>
        <w:spacing w:line="480" w:lineRule="auto"/>
        <w:ind w:firstLine="480"/>
        <w:rPr>
          <w:rFonts w:ascii="宋体" w:eastAsia="宋体" w:hAnsi="宋体" w:cs="宋体"/>
          <w:color w:val="333333"/>
          <w:kern w:val="0"/>
          <w:sz w:val="24"/>
          <w:szCs w:val="24"/>
        </w:rPr>
      </w:pPr>
      <w:r>
        <w:rPr>
          <w:rFonts w:ascii="宋体" w:eastAsia="宋体" w:hAnsi="宋体" w:cs="宋体"/>
          <w:color w:val="333333"/>
          <w:kern w:val="0"/>
          <w:sz w:val="24"/>
          <w:szCs w:val="24"/>
        </w:rPr>
        <w:t>严格按照《政府信息公开条例》要求，对照公开内容，坚持主动公开与依申请公开相结合、网站公开与政务中心公开相结合，进一步提升政府网站建设，利</w:t>
      </w:r>
      <w:r>
        <w:rPr>
          <w:rFonts w:ascii="宋体" w:eastAsia="宋体" w:hAnsi="宋体" w:cs="宋体"/>
          <w:color w:val="333333"/>
          <w:kern w:val="0"/>
          <w:sz w:val="24"/>
          <w:szCs w:val="24"/>
        </w:rPr>
        <w:lastRenderedPageBreak/>
        <w:t>用政务公开栏，不断拓宽渠道，创新形式，及时准确全面地公开了政府信息。基本做到了应该公开的全部公开、依申请公开的及时公开、不能公开的坚决不公开。</w:t>
      </w:r>
    </w:p>
    <w:p w:rsidR="00E723A6" w:rsidRDefault="002C24E2">
      <w:pPr>
        <w:widowControl/>
        <w:shd w:val="clear" w:color="auto" w:fill="FFFFFF"/>
        <w:spacing w:line="480" w:lineRule="auto"/>
        <w:ind w:firstLine="480"/>
        <w:rPr>
          <w:rFonts w:ascii="宋体" w:eastAsia="宋体" w:hAnsi="宋体" w:cs="宋体"/>
          <w:color w:val="333333"/>
          <w:kern w:val="0"/>
          <w:sz w:val="24"/>
          <w:szCs w:val="24"/>
        </w:rPr>
      </w:pPr>
      <w:r>
        <w:rPr>
          <w:rFonts w:ascii="宋体" w:eastAsia="宋体" w:hAnsi="宋体" w:cs="宋体"/>
          <w:color w:val="333333"/>
          <w:kern w:val="0"/>
          <w:sz w:val="24"/>
          <w:szCs w:val="24"/>
        </w:rPr>
        <w:t>（三）健全体制机制</w:t>
      </w:r>
    </w:p>
    <w:p w:rsidR="00E723A6" w:rsidRDefault="002C24E2">
      <w:pPr>
        <w:widowControl/>
        <w:shd w:val="clear" w:color="auto" w:fill="FFFFFF"/>
        <w:spacing w:line="480" w:lineRule="auto"/>
        <w:ind w:firstLine="480"/>
        <w:rPr>
          <w:rFonts w:ascii="宋体" w:eastAsia="宋体" w:hAnsi="宋体" w:cs="宋体"/>
          <w:color w:val="333333"/>
          <w:kern w:val="0"/>
          <w:sz w:val="24"/>
          <w:szCs w:val="24"/>
        </w:rPr>
      </w:pPr>
      <w:r>
        <w:rPr>
          <w:rFonts w:ascii="宋体" w:eastAsia="宋体" w:hAnsi="宋体" w:cs="宋体"/>
          <w:color w:val="333333"/>
          <w:kern w:val="0"/>
          <w:sz w:val="24"/>
          <w:szCs w:val="24"/>
        </w:rPr>
        <w:t>围绕加强政府信息公开的管理，推进公开工作的标准化、制度化、规范化，完善落实公开制度。一是完善健全政府信息主动公开制度，明确政府信息公开的职责、内容、程序、方式和时限要求。二是完善健全政府信息依申请公开制度，制定依申请公开的工作规程。三是完善健全政府信息保密审查制度，明确有关保密审查的职责分工、审查程序和责任追究办法，确保不发生泄密问题。四是完善健全政府信息发布协调机制。发布的政府信息涉及其他行政机关的，要求发布机关在公开该政府信息前，应当与所涉及的其他行政机关进行沟通、确认，保证公开的政府信息准确一致。</w:t>
      </w:r>
    </w:p>
    <w:p w:rsidR="00E723A6" w:rsidRDefault="002C24E2">
      <w:pPr>
        <w:widowControl/>
        <w:numPr>
          <w:ilvl w:val="0"/>
          <w:numId w:val="1"/>
        </w:numPr>
        <w:shd w:val="clear" w:color="auto" w:fill="FFFFFF"/>
        <w:spacing w:line="480" w:lineRule="auto"/>
        <w:ind w:firstLine="480"/>
        <w:rPr>
          <w:rFonts w:ascii="宋体" w:eastAsia="宋体" w:hAnsi="宋体" w:cs="宋体"/>
          <w:color w:val="333333"/>
          <w:kern w:val="0"/>
          <w:sz w:val="24"/>
          <w:szCs w:val="24"/>
        </w:rPr>
      </w:pPr>
      <w:r>
        <w:rPr>
          <w:rFonts w:ascii="宋体" w:eastAsia="宋体" w:hAnsi="宋体" w:cs="宋体"/>
          <w:color w:val="333333"/>
          <w:kern w:val="0"/>
          <w:sz w:val="24"/>
          <w:szCs w:val="24"/>
        </w:rPr>
        <w:t>主动公开政府信息情况</w:t>
      </w:r>
    </w:p>
    <w:tbl>
      <w:tblPr>
        <w:tblpPr w:leftFromText="180" w:rightFromText="180" w:vertAnchor="text" w:horzAnchor="page" w:tblpX="2000" w:tblpY="392"/>
        <w:tblOverlap w:val="never"/>
        <w:tblW w:w="8146" w:type="dxa"/>
        <w:tblCellMar>
          <w:left w:w="0" w:type="dxa"/>
          <w:right w:w="0" w:type="dxa"/>
        </w:tblCellMar>
        <w:tblLook w:val="04A0"/>
      </w:tblPr>
      <w:tblGrid>
        <w:gridCol w:w="3113"/>
        <w:gridCol w:w="1881"/>
        <w:gridCol w:w="1271"/>
        <w:gridCol w:w="1881"/>
      </w:tblGrid>
      <w:tr w:rsidR="00E723A6">
        <w:trPr>
          <w:trHeight w:val="454"/>
        </w:trPr>
        <w:tc>
          <w:tcPr>
            <w:tcW w:w="8146" w:type="dxa"/>
            <w:gridSpan w:val="4"/>
            <w:tcBorders>
              <w:top w:val="single" w:sz="8" w:space="0" w:color="auto"/>
              <w:left w:val="single" w:sz="8" w:space="0" w:color="auto"/>
              <w:bottom w:val="single" w:sz="8" w:space="0" w:color="auto"/>
              <w:right w:val="single" w:sz="8" w:space="0" w:color="auto"/>
            </w:tcBorders>
            <w:shd w:val="clear" w:color="auto" w:fill="C6D9F1"/>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第二十条第（一）项</w:t>
            </w:r>
          </w:p>
        </w:tc>
      </w:tr>
      <w:tr w:rsidR="00E723A6">
        <w:trPr>
          <w:trHeight w:val="454"/>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信息内容</w:t>
            </w:r>
          </w:p>
        </w:tc>
        <w:tc>
          <w:tcPr>
            <w:tcW w:w="1881" w:type="dxa"/>
            <w:tcBorders>
              <w:top w:val="single" w:sz="8" w:space="0" w:color="auto"/>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本年新</w:t>
            </w:r>
            <w:r>
              <w:rPr>
                <w:rFonts w:ascii="Times New Roman" w:eastAsia="宋体" w:hAnsi="Times New Roman" w:cs="Times New Roman"/>
                <w:sz w:val="20"/>
              </w:rPr>
              <w:br/>
            </w:r>
            <w:r>
              <w:rPr>
                <w:rFonts w:ascii="Times New Roman" w:eastAsia="宋体" w:hAnsi="Times New Roman" w:cs="Times New Roman"/>
                <w:sz w:val="20"/>
              </w:rPr>
              <w:t>制作数量</w:t>
            </w:r>
          </w:p>
        </w:tc>
        <w:tc>
          <w:tcPr>
            <w:tcW w:w="1271" w:type="dxa"/>
            <w:tcBorders>
              <w:top w:val="single" w:sz="8" w:space="0" w:color="auto"/>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本年新</w:t>
            </w:r>
            <w:r>
              <w:rPr>
                <w:rFonts w:ascii="Times New Roman" w:eastAsia="宋体" w:hAnsi="Times New Roman" w:cs="Times New Roman"/>
                <w:sz w:val="20"/>
              </w:rPr>
              <w:br/>
            </w:r>
            <w:r>
              <w:rPr>
                <w:rFonts w:ascii="Times New Roman" w:eastAsia="宋体" w:hAnsi="Times New Roman" w:cs="Times New Roman"/>
                <w:sz w:val="20"/>
              </w:rPr>
              <w:t>公开数量</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对外公开总数量</w:t>
            </w:r>
          </w:p>
        </w:tc>
      </w:tr>
      <w:tr w:rsidR="00E723A6">
        <w:trPr>
          <w:trHeight w:val="454"/>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E723A6" w:rsidRDefault="002C24E2">
            <w:pPr>
              <w:rPr>
                <w:rFonts w:ascii="Times New Roman" w:eastAsia="宋体" w:hAnsi="Times New Roman" w:cs="Times New Roman"/>
                <w:szCs w:val="24"/>
              </w:rPr>
            </w:pPr>
            <w:r>
              <w:rPr>
                <w:rFonts w:ascii="Times New Roman" w:eastAsia="宋体" w:hAnsi="Times New Roman" w:cs="Times New Roman"/>
                <w:sz w:val="20"/>
              </w:rPr>
              <w:t>规章</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127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 w:val="20"/>
              </w:rPr>
              <w:t>0</w:t>
            </w:r>
          </w:p>
        </w:tc>
      </w:tr>
      <w:tr w:rsidR="00E723A6">
        <w:trPr>
          <w:trHeight w:val="454"/>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E723A6" w:rsidRDefault="002C24E2">
            <w:pPr>
              <w:rPr>
                <w:rFonts w:ascii="Times New Roman" w:eastAsia="宋体" w:hAnsi="Times New Roman" w:cs="Times New Roman"/>
                <w:szCs w:val="24"/>
              </w:rPr>
            </w:pPr>
            <w:r>
              <w:rPr>
                <w:rFonts w:ascii="Times New Roman" w:eastAsia="宋体" w:hAnsi="Times New Roman" w:cs="Times New Roman"/>
                <w:sz w:val="20"/>
              </w:rPr>
              <w:t>规范性文件</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127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 w:val="20"/>
              </w:rPr>
              <w:t>0</w:t>
            </w:r>
          </w:p>
        </w:tc>
      </w:tr>
      <w:tr w:rsidR="00E723A6">
        <w:trPr>
          <w:trHeight w:val="454"/>
        </w:trPr>
        <w:tc>
          <w:tcPr>
            <w:tcW w:w="8146" w:type="dxa"/>
            <w:gridSpan w:val="4"/>
            <w:tcBorders>
              <w:top w:val="nil"/>
              <w:left w:val="single" w:sz="8" w:space="0" w:color="auto"/>
              <w:bottom w:val="single" w:sz="8" w:space="0" w:color="auto"/>
              <w:right w:val="single" w:sz="8" w:space="0" w:color="auto"/>
            </w:tcBorders>
            <w:shd w:val="clear" w:color="auto" w:fill="C6D9F1"/>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第二十条第（五）项</w:t>
            </w:r>
          </w:p>
        </w:tc>
      </w:tr>
      <w:tr w:rsidR="00E723A6">
        <w:trPr>
          <w:trHeight w:val="454"/>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信息内容</w:t>
            </w:r>
          </w:p>
        </w:tc>
        <w:tc>
          <w:tcPr>
            <w:tcW w:w="1881" w:type="dxa"/>
            <w:tcBorders>
              <w:top w:val="single" w:sz="8" w:space="0" w:color="auto"/>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上一年项目数量</w:t>
            </w:r>
          </w:p>
        </w:tc>
        <w:tc>
          <w:tcPr>
            <w:tcW w:w="1271" w:type="dxa"/>
            <w:tcBorders>
              <w:top w:val="single" w:sz="8" w:space="0" w:color="auto"/>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本年增</w:t>
            </w:r>
            <w:r>
              <w:rPr>
                <w:rFonts w:ascii="Times New Roman" w:eastAsia="宋体" w:hAnsi="Times New Roman" w:cs="Times New Roman"/>
                <w:sz w:val="20"/>
              </w:rPr>
              <w:t>/</w:t>
            </w:r>
            <w:r>
              <w:rPr>
                <w:rFonts w:ascii="Times New Roman" w:eastAsia="宋体" w:hAnsi="Times New Roman" w:cs="Times New Roman"/>
                <w:sz w:val="20"/>
              </w:rPr>
              <w:t>减</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处理决定数量</w:t>
            </w:r>
          </w:p>
        </w:tc>
      </w:tr>
      <w:tr w:rsidR="00E723A6">
        <w:trPr>
          <w:trHeight w:val="454"/>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E723A6" w:rsidRDefault="002C24E2">
            <w:pPr>
              <w:rPr>
                <w:rFonts w:ascii="Times New Roman" w:eastAsia="宋体" w:hAnsi="Times New Roman" w:cs="Times New Roman"/>
                <w:szCs w:val="24"/>
              </w:rPr>
            </w:pPr>
            <w:r>
              <w:rPr>
                <w:rFonts w:ascii="Times New Roman" w:eastAsia="宋体" w:hAnsi="Times New Roman" w:cs="Times New Roman"/>
                <w:sz w:val="20"/>
              </w:rPr>
              <w:t>行政许可</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 w:val="20"/>
              </w:rPr>
              <w:t>24</w:t>
            </w:r>
          </w:p>
        </w:tc>
        <w:tc>
          <w:tcPr>
            <w:tcW w:w="127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Cs w:val="24"/>
              </w:rPr>
              <w:t>180</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Cs w:val="24"/>
              </w:rPr>
              <w:t>204</w:t>
            </w:r>
          </w:p>
        </w:tc>
      </w:tr>
      <w:tr w:rsidR="00E723A6">
        <w:trPr>
          <w:trHeight w:val="454"/>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E723A6" w:rsidRDefault="002C24E2">
            <w:pPr>
              <w:rPr>
                <w:rFonts w:ascii="Times New Roman" w:eastAsia="宋体" w:hAnsi="Times New Roman" w:cs="Times New Roman"/>
                <w:szCs w:val="24"/>
              </w:rPr>
            </w:pPr>
            <w:r>
              <w:rPr>
                <w:rFonts w:ascii="Times New Roman" w:eastAsia="宋体" w:hAnsi="Times New Roman" w:cs="Times New Roman"/>
                <w:sz w:val="20"/>
              </w:rPr>
              <w:t>其他对外管理服务事项</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 w:val="20"/>
              </w:rPr>
              <w:t>255</w:t>
            </w:r>
          </w:p>
        </w:tc>
        <w:tc>
          <w:tcPr>
            <w:tcW w:w="127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Cs w:val="24"/>
              </w:rPr>
              <w:t>0</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Cs w:val="24"/>
              </w:rPr>
              <w:t>255</w:t>
            </w:r>
          </w:p>
        </w:tc>
      </w:tr>
      <w:tr w:rsidR="00E723A6">
        <w:trPr>
          <w:trHeight w:val="454"/>
        </w:trPr>
        <w:tc>
          <w:tcPr>
            <w:tcW w:w="8146" w:type="dxa"/>
            <w:gridSpan w:val="4"/>
            <w:tcBorders>
              <w:top w:val="nil"/>
              <w:left w:val="single" w:sz="8" w:space="0" w:color="auto"/>
              <w:bottom w:val="single" w:sz="8" w:space="0" w:color="auto"/>
              <w:right w:val="single" w:sz="8" w:space="0" w:color="auto"/>
            </w:tcBorders>
            <w:shd w:val="clear" w:color="auto" w:fill="C6D9F1"/>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第二十条第（六）项</w:t>
            </w:r>
          </w:p>
        </w:tc>
      </w:tr>
      <w:tr w:rsidR="00E723A6">
        <w:trPr>
          <w:trHeight w:val="454"/>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信息内容</w:t>
            </w:r>
          </w:p>
        </w:tc>
        <w:tc>
          <w:tcPr>
            <w:tcW w:w="1881" w:type="dxa"/>
            <w:tcBorders>
              <w:top w:val="single" w:sz="8" w:space="0" w:color="auto"/>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上一年项目数量</w:t>
            </w:r>
          </w:p>
        </w:tc>
        <w:tc>
          <w:tcPr>
            <w:tcW w:w="1271" w:type="dxa"/>
            <w:tcBorders>
              <w:top w:val="single" w:sz="8" w:space="0" w:color="auto"/>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本年增</w:t>
            </w:r>
            <w:r>
              <w:rPr>
                <w:rFonts w:ascii="Times New Roman" w:eastAsia="宋体" w:hAnsi="Times New Roman" w:cs="Times New Roman"/>
                <w:sz w:val="20"/>
              </w:rPr>
              <w:t>/</w:t>
            </w:r>
            <w:r>
              <w:rPr>
                <w:rFonts w:ascii="Times New Roman" w:eastAsia="宋体" w:hAnsi="Times New Roman" w:cs="Times New Roman"/>
                <w:sz w:val="20"/>
              </w:rPr>
              <w:t>减</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处理决定数量</w:t>
            </w:r>
          </w:p>
        </w:tc>
      </w:tr>
      <w:tr w:rsidR="00E723A6">
        <w:trPr>
          <w:trHeight w:val="454"/>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E723A6" w:rsidRDefault="002C24E2">
            <w:pPr>
              <w:rPr>
                <w:rFonts w:ascii="Times New Roman" w:eastAsia="宋体" w:hAnsi="Times New Roman" w:cs="Times New Roman"/>
                <w:szCs w:val="24"/>
              </w:rPr>
            </w:pPr>
            <w:r>
              <w:rPr>
                <w:rFonts w:ascii="Times New Roman" w:eastAsia="宋体" w:hAnsi="Times New Roman" w:cs="Times New Roman"/>
                <w:sz w:val="20"/>
              </w:rPr>
              <w:t>行政处罚</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 w:val="20"/>
              </w:rPr>
              <w:t>9</w:t>
            </w:r>
          </w:p>
        </w:tc>
        <w:tc>
          <w:tcPr>
            <w:tcW w:w="127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 w:val="20"/>
              </w:rPr>
              <w:t>15</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 w:val="20"/>
              </w:rPr>
              <w:t>24</w:t>
            </w:r>
          </w:p>
        </w:tc>
      </w:tr>
      <w:tr w:rsidR="00E723A6">
        <w:trPr>
          <w:trHeight w:val="454"/>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E723A6" w:rsidRDefault="002C24E2">
            <w:pPr>
              <w:rPr>
                <w:rFonts w:ascii="Times New Roman" w:eastAsia="宋体" w:hAnsi="Times New Roman" w:cs="Times New Roman"/>
                <w:szCs w:val="24"/>
              </w:rPr>
            </w:pPr>
            <w:r>
              <w:rPr>
                <w:rFonts w:ascii="Times New Roman" w:eastAsia="宋体" w:hAnsi="Times New Roman" w:cs="Times New Roman"/>
                <w:sz w:val="20"/>
              </w:rPr>
              <w:t>行政强制</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127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 w:val="20"/>
              </w:rPr>
              <w:t>4</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 w:val="20"/>
              </w:rPr>
              <w:t>4</w:t>
            </w:r>
          </w:p>
        </w:tc>
      </w:tr>
      <w:tr w:rsidR="00E723A6">
        <w:trPr>
          <w:trHeight w:val="454"/>
        </w:trPr>
        <w:tc>
          <w:tcPr>
            <w:tcW w:w="8146" w:type="dxa"/>
            <w:gridSpan w:val="4"/>
            <w:tcBorders>
              <w:top w:val="nil"/>
              <w:left w:val="single" w:sz="8" w:space="0" w:color="auto"/>
              <w:bottom w:val="single" w:sz="8" w:space="0" w:color="auto"/>
              <w:right w:val="single" w:sz="8" w:space="0" w:color="auto"/>
            </w:tcBorders>
            <w:shd w:val="clear" w:color="auto" w:fill="C6D9F1"/>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lastRenderedPageBreak/>
              <w:t>第二十条第（八）项</w:t>
            </w:r>
          </w:p>
        </w:tc>
      </w:tr>
      <w:tr w:rsidR="00E723A6">
        <w:trPr>
          <w:trHeight w:val="454"/>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信息内容</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rPr>
                <w:rFonts w:ascii="Times New Roman" w:eastAsia="宋体" w:hAnsi="Times New Roman" w:cs="Times New Roman"/>
                <w:szCs w:val="24"/>
              </w:rPr>
            </w:pPr>
            <w:r>
              <w:rPr>
                <w:rFonts w:ascii="Times New Roman" w:eastAsia="宋体" w:hAnsi="Times New Roman" w:cs="Times New Roman"/>
                <w:sz w:val="20"/>
              </w:rPr>
              <w:t>上一年项目数量</w:t>
            </w:r>
          </w:p>
        </w:tc>
        <w:tc>
          <w:tcPr>
            <w:tcW w:w="3152" w:type="dxa"/>
            <w:gridSpan w:val="2"/>
            <w:tcBorders>
              <w:top w:val="single" w:sz="8" w:space="0" w:color="auto"/>
              <w:left w:val="nil"/>
              <w:bottom w:val="single" w:sz="8" w:space="0" w:color="auto"/>
              <w:right w:val="single" w:sz="8" w:space="0" w:color="000000"/>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本年增</w:t>
            </w:r>
            <w:r>
              <w:rPr>
                <w:rFonts w:ascii="Times New Roman" w:eastAsia="宋体" w:hAnsi="Times New Roman" w:cs="Times New Roman"/>
                <w:sz w:val="20"/>
              </w:rPr>
              <w:t>/</w:t>
            </w:r>
            <w:r>
              <w:rPr>
                <w:rFonts w:ascii="Times New Roman" w:eastAsia="宋体" w:hAnsi="Times New Roman" w:cs="Times New Roman"/>
                <w:sz w:val="20"/>
              </w:rPr>
              <w:t>减</w:t>
            </w:r>
          </w:p>
        </w:tc>
      </w:tr>
      <w:tr w:rsidR="00E723A6">
        <w:trPr>
          <w:trHeight w:val="454"/>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E723A6" w:rsidRDefault="002C24E2">
            <w:pPr>
              <w:rPr>
                <w:rFonts w:ascii="Times New Roman" w:eastAsia="宋体" w:hAnsi="Times New Roman" w:cs="Times New Roman"/>
                <w:szCs w:val="24"/>
              </w:rPr>
            </w:pPr>
            <w:r>
              <w:rPr>
                <w:rFonts w:ascii="Times New Roman" w:eastAsia="宋体" w:hAnsi="Times New Roman" w:cs="Times New Roman"/>
                <w:sz w:val="20"/>
              </w:rPr>
              <w:t>行政事业性收费</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3152" w:type="dxa"/>
            <w:gridSpan w:val="2"/>
            <w:tcBorders>
              <w:top w:val="nil"/>
              <w:left w:val="nil"/>
              <w:bottom w:val="single" w:sz="8" w:space="0" w:color="auto"/>
              <w:right w:val="single" w:sz="8" w:space="0" w:color="000000"/>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 w:val="20"/>
              </w:rPr>
              <w:t>4</w:t>
            </w:r>
          </w:p>
        </w:tc>
      </w:tr>
      <w:tr w:rsidR="00E723A6">
        <w:trPr>
          <w:trHeight w:val="454"/>
        </w:trPr>
        <w:tc>
          <w:tcPr>
            <w:tcW w:w="8146" w:type="dxa"/>
            <w:gridSpan w:val="4"/>
            <w:tcBorders>
              <w:top w:val="nil"/>
              <w:left w:val="single" w:sz="8" w:space="0" w:color="auto"/>
              <w:bottom w:val="single" w:sz="8" w:space="0" w:color="auto"/>
              <w:right w:val="single" w:sz="8" w:space="0" w:color="auto"/>
            </w:tcBorders>
            <w:shd w:val="clear" w:color="auto" w:fill="C6D9F1"/>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第二十条第（九）项</w:t>
            </w:r>
          </w:p>
        </w:tc>
      </w:tr>
      <w:tr w:rsidR="00E723A6">
        <w:trPr>
          <w:trHeight w:val="454"/>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信息内容</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采购项目数量</w:t>
            </w:r>
          </w:p>
        </w:tc>
        <w:tc>
          <w:tcPr>
            <w:tcW w:w="3152" w:type="dxa"/>
            <w:gridSpan w:val="2"/>
            <w:tcBorders>
              <w:top w:val="single" w:sz="8" w:space="0" w:color="auto"/>
              <w:left w:val="nil"/>
              <w:bottom w:val="single" w:sz="8" w:space="0" w:color="auto"/>
              <w:right w:val="single" w:sz="8" w:space="0" w:color="000000"/>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sz w:val="20"/>
              </w:rPr>
              <w:t>采购总金额</w:t>
            </w:r>
          </w:p>
        </w:tc>
      </w:tr>
      <w:tr w:rsidR="00E723A6">
        <w:trPr>
          <w:trHeight w:val="454"/>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E723A6" w:rsidRDefault="002C24E2">
            <w:pPr>
              <w:rPr>
                <w:rFonts w:ascii="Times New Roman" w:eastAsia="宋体" w:hAnsi="Times New Roman" w:cs="Times New Roman"/>
                <w:szCs w:val="24"/>
              </w:rPr>
            </w:pPr>
            <w:r>
              <w:rPr>
                <w:rFonts w:ascii="Times New Roman" w:eastAsia="宋体" w:hAnsi="Times New Roman" w:cs="Times New Roman"/>
                <w:sz w:val="20"/>
              </w:rPr>
              <w:t>政府集中采购</w:t>
            </w:r>
          </w:p>
        </w:tc>
        <w:tc>
          <w:tcPr>
            <w:tcW w:w="1881" w:type="dxa"/>
            <w:tcBorders>
              <w:top w:val="nil"/>
              <w:left w:val="nil"/>
              <w:bottom w:val="single" w:sz="8" w:space="0" w:color="auto"/>
              <w:right w:val="single" w:sz="8" w:space="0" w:color="auto"/>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 w:val="20"/>
              </w:rPr>
              <w:t>1</w:t>
            </w:r>
          </w:p>
        </w:tc>
        <w:tc>
          <w:tcPr>
            <w:tcW w:w="3152" w:type="dxa"/>
            <w:gridSpan w:val="2"/>
            <w:tcBorders>
              <w:top w:val="nil"/>
              <w:left w:val="nil"/>
              <w:bottom w:val="single" w:sz="8" w:space="0" w:color="auto"/>
              <w:right w:val="single" w:sz="8" w:space="0" w:color="000000"/>
            </w:tcBorders>
            <w:noWrap/>
            <w:tcMar>
              <w:left w:w="108" w:type="dxa"/>
              <w:right w:w="108" w:type="dxa"/>
            </w:tcMar>
            <w:vAlign w:val="center"/>
          </w:tcPr>
          <w:p w:rsidR="00E723A6" w:rsidRDefault="002C24E2">
            <w:pPr>
              <w:jc w:val="center"/>
              <w:rPr>
                <w:rFonts w:ascii="Times New Roman" w:eastAsia="宋体" w:hAnsi="Times New Roman" w:cs="Times New Roman"/>
                <w:szCs w:val="24"/>
              </w:rPr>
            </w:pPr>
            <w:r>
              <w:rPr>
                <w:rFonts w:ascii="Times New Roman" w:eastAsia="宋体" w:hAnsi="Times New Roman" w:cs="Times New Roman" w:hint="eastAsia"/>
                <w:szCs w:val="24"/>
              </w:rPr>
              <w:t>23000</w:t>
            </w:r>
            <w:r>
              <w:rPr>
                <w:rFonts w:ascii="Times New Roman" w:eastAsia="宋体" w:hAnsi="Times New Roman" w:cs="Times New Roman" w:hint="eastAsia"/>
                <w:szCs w:val="24"/>
              </w:rPr>
              <w:t>元</w:t>
            </w:r>
          </w:p>
        </w:tc>
      </w:tr>
    </w:tbl>
    <w:p w:rsidR="00E723A6" w:rsidRDefault="00E723A6">
      <w:pPr>
        <w:widowControl/>
        <w:shd w:val="clear" w:color="auto" w:fill="FFFFFF"/>
        <w:spacing w:line="480" w:lineRule="auto"/>
        <w:ind w:left="480"/>
        <w:rPr>
          <w:rFonts w:ascii="宋体" w:eastAsia="宋体" w:hAnsi="宋体" w:cs="宋体"/>
          <w:color w:val="333333"/>
          <w:kern w:val="0"/>
          <w:sz w:val="24"/>
          <w:szCs w:val="24"/>
        </w:rPr>
      </w:pPr>
    </w:p>
    <w:p w:rsidR="00E723A6" w:rsidRDefault="002C24E2">
      <w:pPr>
        <w:widowControl/>
        <w:shd w:val="clear" w:color="auto" w:fill="FFFFFF"/>
        <w:spacing w:before="100" w:beforeAutospacing="1" w:after="240"/>
        <w:ind w:firstLine="480"/>
        <w:jc w:val="left"/>
        <w:rPr>
          <w:rFonts w:ascii="宋体" w:eastAsia="宋体" w:hAnsi="宋体" w:cs="宋体"/>
          <w:color w:val="333333"/>
          <w:kern w:val="0"/>
          <w:sz w:val="24"/>
          <w:szCs w:val="24"/>
        </w:rPr>
      </w:pPr>
      <w:r>
        <w:rPr>
          <w:rFonts w:ascii="宋体" w:eastAsia="宋体" w:hAnsi="宋体" w:cs="宋体" w:hint="eastAsia"/>
          <w:color w:val="333333"/>
          <w:kern w:val="0"/>
          <w:sz w:val="22"/>
        </w:rPr>
        <w:t>三、收到和处理政府信息公开申请情况</w:t>
      </w:r>
    </w:p>
    <w:tbl>
      <w:tblPr>
        <w:tblW w:w="9071" w:type="dxa"/>
        <w:jc w:val="center"/>
        <w:tblCellMar>
          <w:top w:w="15" w:type="dxa"/>
          <w:left w:w="15" w:type="dxa"/>
          <w:bottom w:w="15" w:type="dxa"/>
          <w:right w:w="15" w:type="dxa"/>
        </w:tblCellMar>
        <w:tblLook w:val="04A0"/>
      </w:tblPr>
      <w:tblGrid>
        <w:gridCol w:w="617"/>
        <w:gridCol w:w="854"/>
        <w:gridCol w:w="2086"/>
        <w:gridCol w:w="813"/>
        <w:gridCol w:w="755"/>
        <w:gridCol w:w="755"/>
        <w:gridCol w:w="813"/>
        <w:gridCol w:w="973"/>
        <w:gridCol w:w="711"/>
        <w:gridCol w:w="694"/>
      </w:tblGrid>
      <w:tr w:rsidR="00E723A6">
        <w:trPr>
          <w:jc w:val="center"/>
        </w:trPr>
        <w:tc>
          <w:tcPr>
            <w:tcW w:w="3479" w:type="dxa"/>
            <w:gridSpan w:val="3"/>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（本列数据的勾稽关系为：第一项加第二项之和，等于第三项加第四项之和）</w:t>
            </w:r>
          </w:p>
        </w:tc>
        <w:tc>
          <w:tcPr>
            <w:tcW w:w="5592" w:type="dxa"/>
            <w:gridSpan w:val="7"/>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申请人情况</w:t>
            </w:r>
          </w:p>
        </w:tc>
      </w:tr>
      <w:tr w:rsidR="00E723A6">
        <w:trPr>
          <w:jc w:val="center"/>
        </w:trPr>
        <w:tc>
          <w:tcPr>
            <w:tcW w:w="0" w:type="auto"/>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825"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自然人</w:t>
            </w:r>
          </w:p>
        </w:tc>
        <w:tc>
          <w:tcPr>
            <w:tcW w:w="4065" w:type="dxa"/>
            <w:gridSpan w:val="5"/>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法人或其他组织</w:t>
            </w:r>
          </w:p>
        </w:tc>
        <w:tc>
          <w:tcPr>
            <w:tcW w:w="702"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总计</w:t>
            </w:r>
          </w:p>
        </w:tc>
      </w:tr>
      <w:tr w:rsidR="00E723A6">
        <w:trPr>
          <w:jc w:val="center"/>
        </w:trPr>
        <w:tc>
          <w:tcPr>
            <w:tcW w:w="0" w:type="auto"/>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商业企业</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科研机构</w:t>
            </w:r>
          </w:p>
        </w:tc>
        <w:tc>
          <w:tcPr>
            <w:tcW w:w="8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社会公益组织</w:t>
            </w:r>
          </w:p>
        </w:tc>
        <w:tc>
          <w:tcPr>
            <w:tcW w:w="99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法律服务机构</w:t>
            </w:r>
          </w:p>
        </w:tc>
        <w:tc>
          <w:tcPr>
            <w:tcW w:w="72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其他</w:t>
            </w:r>
          </w:p>
        </w:tc>
        <w:tc>
          <w:tcPr>
            <w:tcW w:w="0" w:type="auto"/>
            <w:vMerge/>
            <w:tcBorders>
              <w:top w:val="single" w:sz="8" w:space="0" w:color="auto"/>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r>
      <w:tr w:rsidR="00E723A6">
        <w:trPr>
          <w:jc w:val="center"/>
        </w:trPr>
        <w:tc>
          <w:tcPr>
            <w:tcW w:w="3479"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hint="eastAsia"/>
                <w:color w:val="333333"/>
                <w:kern w:val="0"/>
                <w:sz w:val="20"/>
                <w:szCs w:val="20"/>
              </w:rPr>
              <w:t>一、本年新收政府信息公开申请数量</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r>
      <w:tr w:rsidR="00E723A6">
        <w:trPr>
          <w:jc w:val="center"/>
        </w:trPr>
        <w:tc>
          <w:tcPr>
            <w:tcW w:w="3479"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hint="eastAsia"/>
                <w:color w:val="333333"/>
                <w:kern w:val="0"/>
                <w:sz w:val="20"/>
                <w:szCs w:val="20"/>
              </w:rPr>
              <w:t>二、上年结转政府信息公开申请数量</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r>
      <w:tr w:rsidR="00E723A6">
        <w:trPr>
          <w:jc w:val="center"/>
        </w:trPr>
        <w:tc>
          <w:tcPr>
            <w:tcW w:w="494"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三、本年度办理结果</w:t>
            </w:r>
          </w:p>
        </w:tc>
        <w:tc>
          <w:tcPr>
            <w:tcW w:w="298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（一）予以公开</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0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298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（二）部分公开（区分处理的，只计这一情形，不计其他情形）</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855"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（三）不予公开</w:t>
            </w:r>
          </w:p>
        </w:tc>
        <w:tc>
          <w:tcPr>
            <w:tcW w:w="21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1.属于国家秘密</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0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21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2.其他法律行政法规禁止公开</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21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3.危及“三安全一稳定”</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21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4.保护第三方合法权益</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21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5.属于三类内部事务信息</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21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6.属于四类过程性信息</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21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7.属于行政执法案卷</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21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8.属于行政查询事项</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855"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（四）无法提供</w:t>
            </w:r>
          </w:p>
        </w:tc>
        <w:tc>
          <w:tcPr>
            <w:tcW w:w="21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1.本机关不掌握相关政府信息</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21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2.没有现成信息需要另行制作</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21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3.补正后申请内容仍</w:t>
            </w:r>
            <w:r>
              <w:rPr>
                <w:rFonts w:ascii="宋体" w:eastAsia="宋体" w:hAnsi="宋体" w:cs="宋体"/>
                <w:color w:val="333333"/>
                <w:kern w:val="0"/>
                <w:sz w:val="20"/>
                <w:szCs w:val="20"/>
              </w:rPr>
              <w:lastRenderedPageBreak/>
              <w:t>不明确</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lastRenderedPageBreak/>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F3496">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855"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（五）不予处理</w:t>
            </w:r>
          </w:p>
        </w:tc>
        <w:tc>
          <w:tcPr>
            <w:tcW w:w="21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1.信访举报投诉类申请</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21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2.重复申请</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21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3.要求提供公开出版物</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21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4.无正当理由大量反复申请</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21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5.要求行政机关确认或重新出具已获取信息</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298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（六）其他处理</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color w:val="333333"/>
                <w:kern w:val="0"/>
                <w:sz w:val="20"/>
                <w:szCs w:val="20"/>
              </w:rPr>
              <w:t>0</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298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color w:val="333333"/>
                <w:kern w:val="0"/>
                <w:sz w:val="20"/>
                <w:szCs w:val="20"/>
              </w:rPr>
              <w:t>（七）总计</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r>
      <w:tr w:rsidR="00E723A6">
        <w:trPr>
          <w:jc w:val="center"/>
        </w:trPr>
        <w:tc>
          <w:tcPr>
            <w:tcW w:w="3479"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hint="eastAsia"/>
                <w:color w:val="333333"/>
                <w:kern w:val="0"/>
                <w:sz w:val="20"/>
                <w:szCs w:val="20"/>
              </w:rPr>
              <w:t>四、结转下年度继续办理</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c>
          <w:tcPr>
            <w:tcW w:w="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rsidP="002D504A">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p>
        </w:tc>
      </w:tr>
    </w:tbl>
    <w:p w:rsidR="00E723A6" w:rsidRDefault="002C24E2">
      <w:pPr>
        <w:widowControl/>
        <w:shd w:val="clear" w:color="auto" w:fill="FFFFFF"/>
        <w:spacing w:before="100" w:beforeAutospacing="1"/>
        <w:ind w:firstLine="480"/>
        <w:jc w:val="left"/>
        <w:rPr>
          <w:rFonts w:ascii="宋体" w:eastAsia="宋体" w:hAnsi="宋体" w:cs="宋体"/>
          <w:color w:val="333333"/>
          <w:kern w:val="0"/>
          <w:sz w:val="24"/>
          <w:szCs w:val="24"/>
        </w:rPr>
      </w:pPr>
      <w:r>
        <w:rPr>
          <w:rFonts w:ascii="宋体" w:eastAsia="宋体" w:hAnsi="宋体" w:cs="宋体" w:hint="eastAsia"/>
          <w:color w:val="333333"/>
          <w:kern w:val="0"/>
          <w:sz w:val="22"/>
        </w:rPr>
        <w:t>四、政府信息公开行政复议、行政诉讼情况</w:t>
      </w:r>
    </w:p>
    <w:tbl>
      <w:tblPr>
        <w:tblW w:w="9071" w:type="dxa"/>
        <w:jc w:val="center"/>
        <w:tblCellMar>
          <w:top w:w="15" w:type="dxa"/>
          <w:left w:w="15" w:type="dxa"/>
          <w:bottom w:w="15" w:type="dxa"/>
          <w:right w:w="15" w:type="dxa"/>
        </w:tblCellMar>
        <w:tblLook w:val="04A0"/>
      </w:tblPr>
      <w:tblGrid>
        <w:gridCol w:w="604"/>
        <w:gridCol w:w="604"/>
        <w:gridCol w:w="604"/>
        <w:gridCol w:w="604"/>
        <w:gridCol w:w="658"/>
        <w:gridCol w:w="550"/>
        <w:gridCol w:w="605"/>
        <w:gridCol w:w="605"/>
        <w:gridCol w:w="605"/>
        <w:gridCol w:w="605"/>
        <w:gridCol w:w="605"/>
        <w:gridCol w:w="605"/>
        <w:gridCol w:w="605"/>
        <w:gridCol w:w="606"/>
        <w:gridCol w:w="606"/>
      </w:tblGrid>
      <w:tr w:rsidR="00E723A6">
        <w:trPr>
          <w:jc w:val="center"/>
        </w:trPr>
        <w:tc>
          <w:tcPr>
            <w:tcW w:w="3074" w:type="dxa"/>
            <w:gridSpan w:val="5"/>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行政复议</w:t>
            </w:r>
          </w:p>
        </w:tc>
        <w:tc>
          <w:tcPr>
            <w:tcW w:w="5997" w:type="dxa"/>
            <w:gridSpan w:val="10"/>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行政诉讼</w:t>
            </w:r>
          </w:p>
        </w:tc>
      </w:tr>
      <w:tr w:rsidR="00E723A6">
        <w:trPr>
          <w:jc w:val="center"/>
        </w:trPr>
        <w:tc>
          <w:tcPr>
            <w:tcW w:w="604"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结果维持</w:t>
            </w:r>
          </w:p>
        </w:tc>
        <w:tc>
          <w:tcPr>
            <w:tcW w:w="604"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总计</w:t>
            </w:r>
          </w:p>
        </w:tc>
        <w:tc>
          <w:tcPr>
            <w:tcW w:w="2970" w:type="dxa"/>
            <w:gridSpan w:val="5"/>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复议后起诉</w:t>
            </w:r>
          </w:p>
        </w:tc>
      </w:tr>
      <w:tr w:rsidR="00E723A6">
        <w:trPr>
          <w:jc w:val="center"/>
        </w:trPr>
        <w:tc>
          <w:tcPr>
            <w:tcW w:w="0" w:type="auto"/>
            <w:vMerge/>
            <w:tcBorders>
              <w:top w:val="nil"/>
              <w:left w:val="single" w:sz="8" w:space="0" w:color="auto"/>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single" w:sz="8" w:space="0" w:color="auto"/>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single" w:sz="8" w:space="0" w:color="auto"/>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0" w:type="auto"/>
            <w:vMerge/>
            <w:tcBorders>
              <w:top w:val="single" w:sz="8" w:space="0" w:color="auto"/>
              <w:left w:val="nil"/>
              <w:bottom w:val="single" w:sz="8" w:space="0" w:color="auto"/>
              <w:right w:val="single" w:sz="8" w:space="0" w:color="auto"/>
            </w:tcBorders>
            <w:shd w:val="clear" w:color="auto" w:fill="auto"/>
            <w:vAlign w:val="center"/>
          </w:tcPr>
          <w:p w:rsidR="00E723A6" w:rsidRDefault="00E723A6">
            <w:pPr>
              <w:widowControl/>
              <w:jc w:val="left"/>
              <w:rPr>
                <w:rFonts w:ascii="宋体" w:eastAsia="宋体" w:hAnsi="宋体" w:cs="宋体"/>
                <w:color w:val="333333"/>
                <w:kern w:val="0"/>
                <w:sz w:val="24"/>
                <w:szCs w:val="24"/>
              </w:rPr>
            </w:pPr>
          </w:p>
        </w:tc>
        <w:tc>
          <w:tcPr>
            <w:tcW w:w="5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结果维持</w:t>
            </w:r>
          </w:p>
        </w:tc>
        <w:tc>
          <w:tcPr>
            <w:tcW w:w="6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结果纠正</w:t>
            </w:r>
          </w:p>
        </w:tc>
        <w:tc>
          <w:tcPr>
            <w:tcW w:w="60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其他结果</w:t>
            </w:r>
          </w:p>
        </w:tc>
        <w:tc>
          <w:tcPr>
            <w:tcW w:w="60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尚未审结</w:t>
            </w:r>
          </w:p>
        </w:tc>
        <w:tc>
          <w:tcPr>
            <w:tcW w:w="60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000000"/>
                <w:kern w:val="0"/>
                <w:sz w:val="20"/>
                <w:szCs w:val="20"/>
              </w:rPr>
              <w:t>总计</w:t>
            </w:r>
          </w:p>
        </w:tc>
        <w:tc>
          <w:tcPr>
            <w:tcW w:w="60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结果维持</w:t>
            </w:r>
          </w:p>
        </w:tc>
        <w:tc>
          <w:tcPr>
            <w:tcW w:w="60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结果纠正</w:t>
            </w:r>
          </w:p>
        </w:tc>
        <w:tc>
          <w:tcPr>
            <w:tcW w:w="60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000000"/>
                <w:kern w:val="0"/>
                <w:sz w:val="20"/>
                <w:szCs w:val="20"/>
              </w:rPr>
              <w:t>其他结果</w:t>
            </w:r>
          </w:p>
        </w:tc>
        <w:tc>
          <w:tcPr>
            <w:tcW w:w="60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尚未审结</w:t>
            </w:r>
          </w:p>
        </w:tc>
        <w:tc>
          <w:tcPr>
            <w:tcW w:w="60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000000"/>
                <w:kern w:val="0"/>
                <w:sz w:val="20"/>
                <w:szCs w:val="20"/>
              </w:rPr>
              <w:t>总计</w:t>
            </w:r>
          </w:p>
        </w:tc>
      </w:tr>
      <w:tr w:rsidR="00E723A6">
        <w:trPr>
          <w:jc w:val="center"/>
        </w:trPr>
        <w:tc>
          <w:tcPr>
            <w:tcW w:w="60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Calibri" w:eastAsia="宋体" w:hAnsi="Calibri" w:cs="宋体"/>
                <w:color w:val="333333"/>
                <w:kern w:val="0"/>
                <w:sz w:val="20"/>
                <w:szCs w:val="20"/>
              </w:rPr>
              <w:t> </w:t>
            </w:r>
            <w:r>
              <w:rPr>
                <w:rFonts w:ascii="宋体" w:eastAsia="宋体" w:hAnsi="宋体" w:cs="宋体" w:hint="eastAsia"/>
                <w:color w:val="333333"/>
                <w:kern w:val="0"/>
                <w:sz w:val="20"/>
                <w:szCs w:val="20"/>
              </w:rPr>
              <w:t>0</w:t>
            </w:r>
          </w:p>
        </w:tc>
        <w:tc>
          <w:tcPr>
            <w:tcW w:w="6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Calibri" w:eastAsia="宋体" w:hAnsi="Calibri" w:cs="宋体"/>
                <w:color w:val="333333"/>
                <w:kern w:val="0"/>
                <w:sz w:val="20"/>
                <w:szCs w:val="20"/>
              </w:rPr>
              <w:t> </w:t>
            </w:r>
            <w:r>
              <w:rPr>
                <w:rFonts w:ascii="宋体" w:eastAsia="宋体" w:hAnsi="宋体" w:cs="宋体" w:hint="eastAsia"/>
                <w:color w:val="333333"/>
                <w:kern w:val="0"/>
                <w:sz w:val="20"/>
                <w:szCs w:val="20"/>
              </w:rPr>
              <w:t>0</w:t>
            </w:r>
          </w:p>
        </w:tc>
        <w:tc>
          <w:tcPr>
            <w:tcW w:w="6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w:t>
            </w:r>
            <w:r>
              <w:rPr>
                <w:rFonts w:ascii="Calibri" w:eastAsia="宋体" w:hAnsi="Calibri" w:cs="宋体"/>
                <w:color w:val="333333"/>
                <w:kern w:val="0"/>
                <w:sz w:val="20"/>
                <w:szCs w:val="20"/>
              </w:rPr>
              <w:t> </w:t>
            </w:r>
          </w:p>
        </w:tc>
        <w:tc>
          <w:tcPr>
            <w:tcW w:w="6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Calibri" w:eastAsia="宋体" w:hAnsi="Calibri" w:cs="宋体"/>
                <w:color w:val="333333"/>
                <w:kern w:val="0"/>
                <w:sz w:val="20"/>
                <w:szCs w:val="20"/>
              </w:rPr>
              <w:t> </w:t>
            </w:r>
            <w:r>
              <w:rPr>
                <w:rFonts w:ascii="宋体" w:eastAsia="宋体" w:hAnsi="宋体" w:cs="宋体" w:hint="eastAsia"/>
                <w:color w:val="333333"/>
                <w:kern w:val="0"/>
                <w:sz w:val="20"/>
                <w:szCs w:val="20"/>
              </w:rPr>
              <w:t>0</w:t>
            </w:r>
          </w:p>
        </w:tc>
        <w:tc>
          <w:tcPr>
            <w:tcW w:w="65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Calibri" w:eastAsia="宋体" w:hAnsi="Calibri" w:cs="宋体"/>
                <w:color w:val="333333"/>
                <w:kern w:val="0"/>
                <w:sz w:val="20"/>
                <w:szCs w:val="20"/>
              </w:rPr>
              <w:t> </w:t>
            </w:r>
            <w:r>
              <w:rPr>
                <w:rFonts w:ascii="宋体" w:eastAsia="宋体" w:hAnsi="宋体" w:cs="宋体" w:hint="eastAsia"/>
                <w:color w:val="333333"/>
                <w:kern w:val="0"/>
                <w:sz w:val="20"/>
                <w:szCs w:val="20"/>
              </w:rPr>
              <w:t>0</w:t>
            </w:r>
          </w:p>
        </w:tc>
        <w:tc>
          <w:tcPr>
            <w:tcW w:w="5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0 </w:t>
            </w:r>
          </w:p>
        </w:tc>
        <w:tc>
          <w:tcPr>
            <w:tcW w:w="6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 0</w:t>
            </w:r>
          </w:p>
        </w:tc>
        <w:tc>
          <w:tcPr>
            <w:tcW w:w="6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 0</w:t>
            </w:r>
          </w:p>
        </w:tc>
        <w:tc>
          <w:tcPr>
            <w:tcW w:w="6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 0</w:t>
            </w:r>
          </w:p>
        </w:tc>
        <w:tc>
          <w:tcPr>
            <w:tcW w:w="6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000000"/>
                <w:kern w:val="0"/>
                <w:sz w:val="20"/>
                <w:szCs w:val="20"/>
              </w:rPr>
              <w:t> 0</w:t>
            </w:r>
          </w:p>
        </w:tc>
        <w:tc>
          <w:tcPr>
            <w:tcW w:w="6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 0</w:t>
            </w:r>
          </w:p>
        </w:tc>
        <w:tc>
          <w:tcPr>
            <w:tcW w:w="6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 0</w:t>
            </w:r>
          </w:p>
        </w:tc>
        <w:tc>
          <w:tcPr>
            <w:tcW w:w="6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000000"/>
                <w:kern w:val="0"/>
                <w:sz w:val="20"/>
                <w:szCs w:val="20"/>
              </w:rPr>
              <w:t> 0</w:t>
            </w:r>
          </w:p>
        </w:tc>
        <w:tc>
          <w:tcPr>
            <w:tcW w:w="60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center"/>
              <w:rPr>
                <w:rFonts w:ascii="宋体" w:eastAsia="宋体" w:hAnsi="宋体" w:cs="宋体"/>
                <w:color w:val="333333"/>
                <w:kern w:val="0"/>
                <w:sz w:val="24"/>
                <w:szCs w:val="24"/>
              </w:rPr>
            </w:pPr>
            <w:r>
              <w:rPr>
                <w:rFonts w:ascii="宋体" w:eastAsia="宋体" w:hAnsi="宋体" w:cs="宋体" w:hint="eastAsia"/>
                <w:color w:val="333333"/>
                <w:kern w:val="0"/>
                <w:sz w:val="20"/>
                <w:szCs w:val="20"/>
              </w:rPr>
              <w:t>0 </w:t>
            </w:r>
          </w:p>
        </w:tc>
        <w:tc>
          <w:tcPr>
            <w:tcW w:w="60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723A6" w:rsidRDefault="002C24E2">
            <w:pPr>
              <w:widowControl/>
              <w:spacing w:before="100" w:beforeAutospacing="1"/>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0</w:t>
            </w:r>
          </w:p>
        </w:tc>
      </w:tr>
    </w:tbl>
    <w:p w:rsidR="00E723A6" w:rsidRDefault="002C24E2">
      <w:pPr>
        <w:widowControl/>
        <w:shd w:val="clear" w:color="auto" w:fill="FFFFFF"/>
        <w:spacing w:before="100" w:beforeAutospacing="1" w:line="480" w:lineRule="auto"/>
        <w:ind w:firstLine="480"/>
        <w:jc w:val="left"/>
        <w:rPr>
          <w:rFonts w:ascii="宋体" w:eastAsia="宋体" w:hAnsi="宋体" w:cs="宋体"/>
          <w:color w:val="333333"/>
          <w:kern w:val="0"/>
          <w:sz w:val="24"/>
          <w:szCs w:val="24"/>
        </w:rPr>
      </w:pPr>
      <w:r>
        <w:rPr>
          <w:rFonts w:ascii="宋体" w:eastAsia="宋体" w:hAnsi="宋体" w:cs="宋体" w:hint="eastAsia"/>
          <w:color w:val="333333"/>
          <w:kern w:val="0"/>
          <w:sz w:val="22"/>
        </w:rPr>
        <w:t>五、存在的主要问题及改进情况</w:t>
      </w:r>
    </w:p>
    <w:p w:rsidR="00E723A6" w:rsidRDefault="002C24E2">
      <w:pPr>
        <w:pStyle w:val="a3"/>
        <w:shd w:val="clear" w:color="auto" w:fill="FFFFFF"/>
        <w:spacing w:before="0" w:beforeAutospacing="0" w:after="0" w:afterAutospacing="0" w:line="480" w:lineRule="auto"/>
        <w:ind w:firstLine="420"/>
        <w:jc w:val="both"/>
        <w:rPr>
          <w:color w:val="333333"/>
        </w:rPr>
      </w:pPr>
      <w:r>
        <w:rPr>
          <w:rFonts w:hint="eastAsia"/>
          <w:color w:val="333333"/>
          <w:shd w:val="clear" w:color="auto" w:fill="FFFFFF"/>
        </w:rPr>
        <w:t>2020年，乌石镇人民政府按照信息公开条例的有关要求，加强信息发布、解读和回应，取得了一定成效，但同时也存在信息资源和公开渠道还待进一步优化，政府门户网站功能还待进一步加强等问题。下一步，将重点抓好以下工作：</w:t>
      </w:r>
    </w:p>
    <w:p w:rsidR="00E723A6" w:rsidRDefault="002C24E2">
      <w:pPr>
        <w:pStyle w:val="a3"/>
        <w:shd w:val="clear" w:color="auto" w:fill="FFFFFF"/>
        <w:spacing w:before="0" w:beforeAutospacing="0" w:after="0" w:afterAutospacing="0" w:line="480" w:lineRule="auto"/>
        <w:ind w:firstLine="420"/>
        <w:jc w:val="both"/>
        <w:rPr>
          <w:color w:val="333333"/>
        </w:rPr>
      </w:pPr>
      <w:r>
        <w:rPr>
          <w:rFonts w:hint="eastAsia"/>
          <w:color w:val="333333"/>
          <w:shd w:val="clear" w:color="auto" w:fill="FFFFFF"/>
        </w:rPr>
        <w:t>（一）进一步充分使用政府信息平台功能</w:t>
      </w:r>
    </w:p>
    <w:p w:rsidR="00E723A6" w:rsidRDefault="002C24E2">
      <w:pPr>
        <w:pStyle w:val="a3"/>
        <w:shd w:val="clear" w:color="auto" w:fill="FFFFFF"/>
        <w:spacing w:before="0" w:beforeAutospacing="0" w:after="0" w:afterAutospacing="0" w:line="480" w:lineRule="auto"/>
        <w:ind w:firstLine="420"/>
        <w:jc w:val="both"/>
        <w:rPr>
          <w:color w:val="333333"/>
        </w:rPr>
      </w:pPr>
      <w:r>
        <w:rPr>
          <w:rFonts w:hint="eastAsia"/>
          <w:color w:val="333333"/>
          <w:shd w:val="clear" w:color="auto" w:fill="FFFFFF"/>
        </w:rPr>
        <w:t>充分运用互联网思维，凸显政务服务的核心理念，通过规范服务标准</w:t>
      </w:r>
      <w:bookmarkStart w:id="0" w:name="_GoBack"/>
      <w:bookmarkEnd w:id="0"/>
      <w:r>
        <w:rPr>
          <w:rFonts w:hint="eastAsia"/>
          <w:color w:val="333333"/>
          <w:shd w:val="clear" w:color="auto" w:fill="FFFFFF"/>
        </w:rPr>
        <w:t>、优化服务流程、提供智能化人性化创新服务，构建公开透明、高效便捷的政务服务体系；基于大数据、云计算等新一代信息技术的智能检索功能，帮助网民根据自身需求快速准确定位到平台相关政务服务信息。</w:t>
      </w:r>
    </w:p>
    <w:p w:rsidR="00E723A6" w:rsidRDefault="002C24E2">
      <w:pPr>
        <w:pStyle w:val="a3"/>
        <w:shd w:val="clear" w:color="auto" w:fill="FFFFFF"/>
        <w:spacing w:before="0" w:beforeAutospacing="0" w:after="0" w:afterAutospacing="0" w:line="480" w:lineRule="auto"/>
        <w:ind w:firstLine="420"/>
        <w:jc w:val="both"/>
        <w:rPr>
          <w:color w:val="333333"/>
        </w:rPr>
      </w:pPr>
      <w:r>
        <w:rPr>
          <w:rFonts w:hint="eastAsia"/>
          <w:color w:val="333333"/>
          <w:shd w:val="clear" w:color="auto" w:fill="FFFFFF"/>
        </w:rPr>
        <w:t>（二）进一步提升政策解读工作水平</w:t>
      </w:r>
    </w:p>
    <w:p w:rsidR="00E723A6" w:rsidRDefault="002C24E2">
      <w:pPr>
        <w:pStyle w:val="a3"/>
        <w:shd w:val="clear" w:color="auto" w:fill="FFFFFF"/>
        <w:spacing w:before="0" w:beforeAutospacing="0" w:after="0" w:afterAutospacing="0" w:line="480" w:lineRule="auto"/>
        <w:ind w:firstLine="420"/>
        <w:jc w:val="both"/>
        <w:rPr>
          <w:color w:val="333333"/>
        </w:rPr>
      </w:pPr>
      <w:r>
        <w:rPr>
          <w:rFonts w:hint="eastAsia"/>
          <w:color w:val="333333"/>
          <w:shd w:val="clear" w:color="auto" w:fill="FFFFFF"/>
        </w:rPr>
        <w:lastRenderedPageBreak/>
        <w:t>通过撰写解读文章、接受媒体采访和在线访谈等方式，做好重大政策及出台政策的解读工作，传递权威信息；在解读专业性较强的政策时，多进行形象化、通俗化解读，多举实例，多讲故事，着力提升解读的针对性和易懂性。</w:t>
      </w:r>
    </w:p>
    <w:p w:rsidR="00E723A6" w:rsidRDefault="002C24E2">
      <w:pPr>
        <w:pStyle w:val="a3"/>
        <w:shd w:val="clear" w:color="auto" w:fill="FFFFFF"/>
        <w:spacing w:before="0" w:beforeAutospacing="0" w:after="0" w:afterAutospacing="0" w:line="480" w:lineRule="auto"/>
        <w:ind w:firstLine="420"/>
        <w:jc w:val="both"/>
        <w:rPr>
          <w:color w:val="333333"/>
        </w:rPr>
      </w:pPr>
      <w:r>
        <w:rPr>
          <w:rFonts w:hint="eastAsia"/>
          <w:color w:val="333333"/>
          <w:shd w:val="clear" w:color="auto" w:fill="FFFFFF"/>
        </w:rPr>
        <w:t>六、其他需要报告的事项</w:t>
      </w:r>
    </w:p>
    <w:p w:rsidR="00E723A6" w:rsidRDefault="002C24E2">
      <w:pPr>
        <w:pStyle w:val="a3"/>
        <w:shd w:val="clear" w:color="auto" w:fill="FFFFFF"/>
        <w:spacing w:before="0" w:beforeAutospacing="0" w:after="0" w:afterAutospacing="0" w:line="480" w:lineRule="auto"/>
        <w:ind w:firstLine="420"/>
        <w:jc w:val="both"/>
        <w:rPr>
          <w:color w:val="333333"/>
        </w:rPr>
      </w:pPr>
      <w:r>
        <w:rPr>
          <w:rFonts w:hint="eastAsia"/>
          <w:color w:val="333333"/>
          <w:shd w:val="clear" w:color="auto" w:fill="FFFFFF"/>
        </w:rPr>
        <w:t>2020年本单位无其他需要报告事项</w:t>
      </w:r>
    </w:p>
    <w:p w:rsidR="00E723A6" w:rsidRDefault="00E723A6">
      <w:pPr>
        <w:spacing w:line="480" w:lineRule="auto"/>
      </w:pPr>
    </w:p>
    <w:sectPr w:rsidR="00E723A6" w:rsidSect="00E723A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5D08" w:rsidRDefault="00AA5D08" w:rsidP="00E93AA4">
      <w:r>
        <w:separator/>
      </w:r>
    </w:p>
  </w:endnote>
  <w:endnote w:type="continuationSeparator" w:id="1">
    <w:p w:rsidR="00AA5D08" w:rsidRDefault="00AA5D08" w:rsidP="00E93A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icrosoft yahei">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5D08" w:rsidRDefault="00AA5D08" w:rsidP="00E93AA4">
      <w:r>
        <w:separator/>
      </w:r>
    </w:p>
  </w:footnote>
  <w:footnote w:type="continuationSeparator" w:id="1">
    <w:p w:rsidR="00AA5D08" w:rsidRDefault="00AA5D08" w:rsidP="00E93AA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5B7C202"/>
    <w:multiLevelType w:val="singleLevel"/>
    <w:tmpl w:val="95B7C202"/>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DF7670"/>
    <w:rsid w:val="00266AA8"/>
    <w:rsid w:val="002C24E2"/>
    <w:rsid w:val="002D504A"/>
    <w:rsid w:val="002F3496"/>
    <w:rsid w:val="006C4C0D"/>
    <w:rsid w:val="0078517D"/>
    <w:rsid w:val="00AA5D08"/>
    <w:rsid w:val="00DF7670"/>
    <w:rsid w:val="00E723A6"/>
    <w:rsid w:val="00E93AA4"/>
    <w:rsid w:val="00E95FFC"/>
    <w:rsid w:val="00EC7DD8"/>
    <w:rsid w:val="00F005F4"/>
    <w:rsid w:val="05FD1582"/>
    <w:rsid w:val="10FC50DA"/>
    <w:rsid w:val="1F177EC7"/>
    <w:rsid w:val="2B8A0C4D"/>
    <w:rsid w:val="41502642"/>
    <w:rsid w:val="4AA112FF"/>
    <w:rsid w:val="578C75E4"/>
    <w:rsid w:val="59171F34"/>
    <w:rsid w:val="6FC74886"/>
    <w:rsid w:val="724517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23A6"/>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qFormat/>
    <w:rsid w:val="00E723A6"/>
    <w:pPr>
      <w:widowControl/>
      <w:spacing w:before="100" w:beforeAutospacing="1" w:after="100" w:afterAutospacing="1"/>
      <w:jc w:val="left"/>
      <w:outlineLvl w:val="1"/>
    </w:pPr>
    <w:rPr>
      <w:rFonts w:ascii="宋体" w:eastAsia="宋体" w:hAnsi="宋体" w:cs="宋体"/>
      <w:b/>
      <w:bCs/>
      <w:kern w:val="0"/>
      <w:sz w:val="36"/>
      <w:szCs w:val="36"/>
    </w:rPr>
  </w:style>
  <w:style w:type="paragraph" w:styleId="6">
    <w:name w:val="heading 6"/>
    <w:basedOn w:val="a"/>
    <w:next w:val="a"/>
    <w:link w:val="6Char"/>
    <w:uiPriority w:val="9"/>
    <w:qFormat/>
    <w:rsid w:val="00E723A6"/>
    <w:pPr>
      <w:widowControl/>
      <w:spacing w:before="100" w:beforeAutospacing="1" w:after="100" w:afterAutospacing="1"/>
      <w:jc w:val="left"/>
      <w:outlineLvl w:val="5"/>
    </w:pPr>
    <w:rPr>
      <w:rFonts w:ascii="宋体" w:eastAsia="宋体" w:hAnsi="宋体" w:cs="宋体"/>
      <w:b/>
      <w:bCs/>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rsid w:val="00E723A6"/>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qFormat/>
    <w:rsid w:val="00E723A6"/>
    <w:rPr>
      <w:rFonts w:ascii="宋体" w:eastAsia="宋体" w:hAnsi="宋体" w:cs="宋体"/>
      <w:b/>
      <w:bCs/>
      <w:kern w:val="0"/>
      <w:sz w:val="36"/>
      <w:szCs w:val="36"/>
    </w:rPr>
  </w:style>
  <w:style w:type="character" w:customStyle="1" w:styleId="6Char">
    <w:name w:val="标题 6 Char"/>
    <w:basedOn w:val="a0"/>
    <w:link w:val="6"/>
    <w:uiPriority w:val="9"/>
    <w:qFormat/>
    <w:rsid w:val="00E723A6"/>
    <w:rPr>
      <w:rFonts w:ascii="宋体" w:eastAsia="宋体" w:hAnsi="宋体" w:cs="宋体"/>
      <w:b/>
      <w:bCs/>
      <w:kern w:val="0"/>
      <w:sz w:val="15"/>
      <w:szCs w:val="15"/>
    </w:rPr>
  </w:style>
  <w:style w:type="paragraph" w:styleId="a4">
    <w:name w:val="header"/>
    <w:basedOn w:val="a"/>
    <w:link w:val="Char"/>
    <w:uiPriority w:val="99"/>
    <w:semiHidden/>
    <w:unhideWhenUsed/>
    <w:rsid w:val="00E93A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E93AA4"/>
    <w:rPr>
      <w:rFonts w:asciiTheme="minorHAnsi" w:eastAsiaTheme="minorEastAsia" w:hAnsiTheme="minorHAnsi" w:cstheme="minorBidi"/>
      <w:kern w:val="2"/>
      <w:sz w:val="18"/>
      <w:szCs w:val="18"/>
    </w:rPr>
  </w:style>
  <w:style w:type="paragraph" w:styleId="a5">
    <w:name w:val="footer"/>
    <w:basedOn w:val="a"/>
    <w:link w:val="Char0"/>
    <w:uiPriority w:val="99"/>
    <w:semiHidden/>
    <w:unhideWhenUsed/>
    <w:rsid w:val="00E93AA4"/>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E93AA4"/>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5</Pages>
  <Words>391</Words>
  <Characters>2233</Characters>
  <Application>Microsoft Office Word</Application>
  <DocSecurity>0</DocSecurity>
  <Lines>18</Lines>
  <Paragraphs>5</Paragraphs>
  <ScaleCrop>false</ScaleCrop>
  <Company/>
  <LinksUpToDate>false</LinksUpToDate>
  <CharactersWithSpaces>2619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8</cp:revision>
  <dcterms:created xsi:type="dcterms:W3CDTF">2021-01-19T05:17:00Z</dcterms:created>
  <dcterms:modified xsi:type="dcterms:W3CDTF">2021-04-08T07:35:00Z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