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湘潭天易经济开发区2020年度政府信息公开工作年度报告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根据《中华人民共和国政府信息公开条例》（以下简称《条例》），特向社会公布2020年度本单位信息公开年度报告。本报告由总体情况、主动公开政府信息情况、收到和处理政府信息公开申请情况、政府信息公开行政复议、行政诉讼情况、存在的主要问题及改进情况等部分组成。本报告中所列数据的统计期限自2020年1月1日起至2020年12月31日止。本年报的电子版可在“湘潭天易经济开发区门户网站”http://www.xtx.gov.cn/10115/10116/10474/10480/index.htm）信息公开年报专栏下载。如对本报告有任何疑问，如对报告有任何疑问，请与湘潭天易经济开发区办公室联系（地址：天易大道8号，邮编：411228，电话：0731-57575003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一）加强领导，统一认识，确保政务公开落到实处。天易经开区高度重视信息公开工作，本着“规范、明了、方便、实用”的原则认真按照上级部门的要求，积极、有序、稳妥推进政府信息公开的各项工作。成立了政府信息公开工作领导小组，办公室设在党政办，由党政办具体负责政府信息公开日常事务。在主动公开信息工作中，为做好政府信息及时向公众传递，制定了拟文、审核、定稿、发布等程序，使公文进入审签程序时就明确该公文信息可否公开，增强了信息公开的时效性，确保公开与保密两不误，在保障群众的知情权、表达权、参与权和监督权等方面发挥了积极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二）落实责任，突出重点，不断深化政务信息公开。2020年天易经开区继续对本单位的政府信息公开工作进行了具体组织部署，在公开基本内容的基础上，重点公开与群众切身利益密切相关的事项，以及群众最关心、社会最敏感、反映最强烈的热点问题。涉及政府公开信息目录的有六大类，涵盖了政府公开信息的各个方面。按照“以公开为原则，不公开为例外”的总体要求，不断完善信息公开目录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三）完善制度，真抓实干，政务公开工作富有成效。在政务公开工作中，我们始终坚持把政务公开与目标考核相结合；把政务公开与社会服务承诺相结合；把政务公开与开展行风评议相结合；把政务公开与党风廉政建设相结合的原则，扎实开展政务工作，目前，已经建立和实施有关政府信息公开工作制度，确保了本单位政府信息公开工作的顺利开展。一是建立并执行主动公开、依申请公开的工作制度；二是建立并执行政府信息公开发布前审查制度；三是建立并执行政府信息发布协调机制；四是建立并执行政府信息公开工作内部考核、举报受理、社会评议和责任追究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2020年，累计主动公开政府信息261条。其中，主动公开规范性文件24条，工作动态类信息222条，政府工作报告信息3条，其他信息12条。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2020年度湘潭天易经济开发区政府信息依申请公开的情况为零。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2020年度湘潭天易经济开发区未收取政府信息查询、申请公开的任何费用。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2020年湘潭天易经济开发区没有发生有关政府信息公开事务的举报、投诉、行政复议、行政诉讼情况。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2496"/>
        <w:gridCol w:w="1500"/>
        <w:gridCol w:w="1020"/>
        <w:gridCol w:w="150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6516"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第二十条第（一）项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780"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信息内容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本年新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制作数量</w:t>
            </w:r>
          </w:p>
        </w:tc>
        <w:tc>
          <w:tcPr>
            <w:tcW w:w="102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本年新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公开数量</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对外公开总数量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规章</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02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规范性文件</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24</w:t>
            </w:r>
          </w:p>
        </w:tc>
        <w:tc>
          <w:tcPr>
            <w:tcW w:w="102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24</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24</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6516"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第二十条第（五）项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信息内容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上一年项目数量</w:t>
            </w:r>
          </w:p>
        </w:tc>
        <w:tc>
          <w:tcPr>
            <w:tcW w:w="102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本年增/减</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行政许可</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其他对外管理服务事项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6516"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第二十条第（六）项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信息内容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上一年项目数量</w:t>
            </w:r>
          </w:p>
        </w:tc>
        <w:tc>
          <w:tcPr>
            <w:tcW w:w="102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本年增/减</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行政处罚</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行政强制</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02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6516"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第二十条第（八）项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信息内容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上一年项目数量</w:t>
            </w:r>
          </w:p>
        </w:tc>
        <w:tc>
          <w:tcPr>
            <w:tcW w:w="252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本年增/减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行政事业性收费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c>
          <w:tcPr>
            <w:tcW w:w="252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6516" w:type="dxa"/>
            <w:gridSpan w:val="4"/>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第二十条第（九）项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信息内容</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采购项目数量</w:t>
            </w:r>
          </w:p>
        </w:tc>
        <w:tc>
          <w:tcPr>
            <w:tcW w:w="252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采购总金额</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30" w:type="dxa"/>
            <w:left w:w="30" w:type="dxa"/>
            <w:bottom w:w="30" w:type="dxa"/>
            <w:right w:w="30" w:type="dxa"/>
          </w:tblCellMar>
        </w:tblPrEx>
        <w:trPr>
          <w:trHeight w:val="396" w:hRule="atLeast"/>
          <w:jc w:val="center"/>
        </w:trPr>
        <w:tc>
          <w:tcPr>
            <w:tcW w:w="2496"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政府集中采购</w:t>
            </w:r>
          </w:p>
        </w:tc>
        <w:tc>
          <w:tcPr>
            <w:tcW w:w="1500" w:type="dxa"/>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16</w:t>
            </w:r>
          </w:p>
        </w:tc>
        <w:tc>
          <w:tcPr>
            <w:tcW w:w="2520" w:type="dxa"/>
            <w:gridSpan w:val="2"/>
            <w:tcBorders>
              <w:top w:val="outset" w:color="000000" w:sz="6" w:space="0"/>
              <w:left w:val="outset" w:color="000000" w:sz="6" w:space="0"/>
              <w:bottom w:val="outset" w:color="000000" w:sz="6" w:space="0"/>
              <w:right w:val="outset" w:color="000000" w:sz="6" w:space="0"/>
            </w:tcBorders>
            <w:shd w:val="clear" w:color="auto" w:fill="FFFFFF"/>
            <w:noWrap/>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i w:val="0"/>
                <w:caps w:val="0"/>
                <w:color w:val="333333"/>
                <w:spacing w:val="0"/>
                <w:sz w:val="19"/>
                <w:szCs w:val="19"/>
                <w:bdr w:val="none" w:color="auto" w:sz="0" w:space="0"/>
              </w:rPr>
              <w:t>2068892</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三、收到和处理政府信息公开申请情况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492"/>
        <w:gridCol w:w="684"/>
        <w:gridCol w:w="1992"/>
        <w:gridCol w:w="456"/>
        <w:gridCol w:w="552"/>
        <w:gridCol w:w="528"/>
        <w:gridCol w:w="648"/>
        <w:gridCol w:w="780"/>
        <w:gridCol w:w="564"/>
        <w:gridCol w:w="56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68" w:type="dxa"/>
            <w:gridSpan w:val="3"/>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（本列数据的勾稽关系为：第一项加第二项之和，等于第三项加第四项之和）</w:t>
            </w:r>
          </w:p>
        </w:tc>
        <w:tc>
          <w:tcPr>
            <w:tcW w:w="4092" w:type="dxa"/>
            <w:gridSpan w:val="7"/>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申请人情况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68" w:type="dxa"/>
            <w:gridSpan w:val="3"/>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456"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自然人</w:t>
            </w:r>
          </w:p>
        </w:tc>
        <w:tc>
          <w:tcPr>
            <w:tcW w:w="3072"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法人或其他组织</w:t>
            </w:r>
          </w:p>
        </w:tc>
        <w:tc>
          <w:tcPr>
            <w:tcW w:w="552"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68" w:type="dxa"/>
            <w:gridSpan w:val="3"/>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456"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商业企业</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科研机构</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社会公益组织</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法律服务机构</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其他</w:t>
            </w:r>
          </w:p>
        </w:tc>
        <w:tc>
          <w:tcPr>
            <w:tcW w:w="55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68" w:type="dxa"/>
            <w:gridSpan w:val="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一、本年新收政府信息公开申请数量</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68" w:type="dxa"/>
            <w:gridSpan w:val="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二、上年结转政府信息公开申请数量</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三、本年度办理结果</w:t>
            </w:r>
          </w:p>
        </w:tc>
        <w:tc>
          <w:tcPr>
            <w:tcW w:w="2676"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（一）予以公开</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2676"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（二）部分公开（区分处理的，只计这一情形，不计其他情形）</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（三）不予公开</w:t>
            </w: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1.属于国家秘密</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2.其他法律行政法规禁止公开</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3.危及“三安全一稳定”</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4.保护第三方合法权益</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5.属于三类内部事务信息</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6.属于四类过程性信息</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7.属于行政执法案卷</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8.属于行政查询事项</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（四）无法提供</w:t>
            </w: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1.本机关不掌握相关政府信息</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2.没有现成信息需要另行制作</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3.补正后申请内容仍不明确</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（五）不予处理</w:t>
            </w: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1.信访举报投诉类申请</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2.重复申请</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3.要求提供公开出版物</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4.无正当理由大量反复申请</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684"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199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5.要求行政机关确认或重新出具已获取信息</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2676"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（六）其他处理</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92"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2676" w:type="dxa"/>
            <w:gridSpan w:val="2"/>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（七）总计</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68" w:type="dxa"/>
            <w:gridSpan w:val="3"/>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四、结转下年度继续办理</w:t>
            </w:r>
          </w:p>
        </w:tc>
        <w:tc>
          <w:tcPr>
            <w:tcW w:w="456"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64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7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6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52"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四、政府信息公开行政复议、行政诉讼情况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480"/>
        <w:gridCol w:w="480"/>
        <w:gridCol w:w="480"/>
        <w:gridCol w:w="480"/>
        <w:gridCol w:w="540"/>
        <w:gridCol w:w="444"/>
        <w:gridCol w:w="480"/>
        <w:gridCol w:w="480"/>
        <w:gridCol w:w="480"/>
        <w:gridCol w:w="492"/>
        <w:gridCol w:w="480"/>
        <w:gridCol w:w="480"/>
        <w:gridCol w:w="480"/>
        <w:gridCol w:w="480"/>
        <w:gridCol w:w="50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2460"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行政复议</w:t>
            </w:r>
          </w:p>
        </w:tc>
        <w:tc>
          <w:tcPr>
            <w:tcW w:w="4800" w:type="dxa"/>
            <w:gridSpan w:val="10"/>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行政诉讼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结果维持</w:t>
            </w:r>
          </w:p>
        </w:tc>
        <w:tc>
          <w:tcPr>
            <w:tcW w:w="4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结果纠正</w:t>
            </w:r>
          </w:p>
        </w:tc>
        <w:tc>
          <w:tcPr>
            <w:tcW w:w="4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其他结果</w:t>
            </w:r>
          </w:p>
        </w:tc>
        <w:tc>
          <w:tcPr>
            <w:tcW w:w="480"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尚未审结</w:t>
            </w:r>
          </w:p>
        </w:tc>
        <w:tc>
          <w:tcPr>
            <w:tcW w:w="528" w:type="dxa"/>
            <w:vMerge w:val="restart"/>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总计</w:t>
            </w:r>
          </w:p>
        </w:tc>
        <w:tc>
          <w:tcPr>
            <w:tcW w:w="2376"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未经复议直接起诉</w:t>
            </w:r>
          </w:p>
        </w:tc>
        <w:tc>
          <w:tcPr>
            <w:tcW w:w="2424" w:type="dxa"/>
            <w:gridSpan w:val="5"/>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复议后起诉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4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4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480"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528" w:type="dxa"/>
            <w:vMerge w:val="continue"/>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rPr>
                <w:rFonts w:hint="eastAsia" w:ascii="宋体"/>
                <w:sz w:val="24"/>
                <w:szCs w:val="24"/>
              </w:rPr>
            </w:pPr>
          </w:p>
        </w:tc>
        <w:tc>
          <w:tcPr>
            <w:tcW w:w="44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结果维持</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结果纠正</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其他结果</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尚未审结</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总计</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结果维持</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结果纠正</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其他结果</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尚未审结</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528"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44"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c>
          <w:tcPr>
            <w:tcW w:w="480" w:type="dxa"/>
            <w:tcBorders>
              <w:top w:val="outset" w:color="000000" w:sz="6" w:space="0"/>
              <w:left w:val="outset" w:color="000000" w:sz="6" w:space="0"/>
              <w:bottom w:val="outset" w:color="000000" w:sz="6" w:space="0"/>
              <w:right w:val="outset" w:color="000000"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color w:val="333333"/>
                <w:sz w:val="19"/>
                <w:szCs w:val="19"/>
              </w:rPr>
            </w:pPr>
            <w:r>
              <w:rPr>
                <w:rFonts w:hint="eastAsia" w:ascii="宋体" w:hAnsi="宋体" w:eastAsia="宋体" w:cs="宋体"/>
                <w:color w:val="333333"/>
                <w:sz w:val="19"/>
                <w:szCs w:val="19"/>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（一）工作中存在的主要问题和困难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 一是政府信息公开、政务公开的长效机制有待健全，发布信息不够及时、发布量少；二是部分股室信息公开意识有待加强；三是网站管理技术力量不足，缺乏信息人才，业务水平还有待提高。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（二）具体的解决办法和改进措施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1.突出实效，突出重点。把群众最关注、最想了解的经济发展情况进行公开。尤其是涉及全县经济社会总体发展情况和每月经济运行数据及时公开，让群众直接感受和了解我县经济社会发展成果。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推进政府信息公开长效机制建设。积极采取各项措施，强化对政府信息公开工作的监督考核。一是设立监督电话、投诉箱，收集群众意见，及时纠正存在的问题，让公开工作接受群众评判。二是建立考核奖惩制度。将信息化建设纳入工作人员年度目标管理绩效考核，将考核结果作为评先的条件，有力地推进政府信息公开工作的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2020年湘潭天易经济开发区没有需说明的其他相关工作情况。</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B3189F"/>
    <w:rsid w:val="1DB31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2021-04-08T02:09:00Z</dcterms:created>
  <dc:creator>Administrator</dc:creator>
  <cp:lastModifiedBy>Administrator</cp:lastModifiedBy>
  <dcterms:modified xsi:type="dcterms:W3CDTF">2021-04-08T02:13:34Z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