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bCs/>
          <w:color w:val="auto"/>
          <w:sz w:val="44"/>
          <w:szCs w:val="44"/>
          <w:lang w:val="en-US" w:eastAsia="zh-CN"/>
        </w:rPr>
      </w:pPr>
      <w:r>
        <w:rPr>
          <w:rFonts w:hint="eastAsia" w:ascii="方正小标宋简体" w:hAnsi="方正小标宋简体" w:eastAsia="方正小标宋简体" w:cs="方正小标宋简体"/>
          <w:b/>
          <w:bCs/>
          <w:color w:val="auto"/>
          <w:sz w:val="44"/>
          <w:szCs w:val="44"/>
          <w:lang w:val="en-US" w:eastAsia="zh-CN"/>
        </w:rPr>
        <w:t>湘潭县科技和工业信息化局</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bCs/>
          <w:color w:val="auto"/>
          <w:sz w:val="44"/>
          <w:szCs w:val="44"/>
          <w:lang w:val="en-US"/>
        </w:rPr>
      </w:pPr>
      <w:r>
        <w:rPr>
          <w:rFonts w:hint="eastAsia" w:ascii="方正小标宋简体" w:hAnsi="方正小标宋简体" w:eastAsia="方正小标宋简体" w:cs="方正小标宋简体"/>
          <w:b/>
          <w:bCs/>
          <w:color w:val="auto"/>
          <w:sz w:val="44"/>
          <w:szCs w:val="44"/>
          <w:lang w:val="en-US"/>
        </w:rPr>
        <w:t>2020年度政府信息公开工作年度报告</w:t>
      </w:r>
    </w:p>
    <w:p>
      <w:pPr>
        <w:keepNext w:val="0"/>
        <w:keepLines w:val="0"/>
        <w:pageBreakBefore w:val="0"/>
        <w:widowControl w:val="0"/>
        <w:kinsoku/>
        <w:overflowPunct/>
        <w:topLinePunct w:val="0"/>
        <w:autoSpaceDE/>
        <w:autoSpaceDN/>
        <w:bidi w:val="0"/>
        <w:ind w:firstLine="420"/>
        <w:jc w:val="both"/>
        <w:textAlignment w:val="auto"/>
        <w:rPr>
          <w:rFonts w:hint="eastAsia" w:ascii="黑体" w:hAnsi="黑体" w:eastAsia="黑体" w:cs="黑体"/>
          <w:color w:val="auto"/>
          <w:sz w:val="32"/>
          <w:szCs w:val="32"/>
          <w:lang w:val="en-US"/>
        </w:rPr>
      </w:pPr>
    </w:p>
    <w:p>
      <w:pPr>
        <w:keepNext w:val="0"/>
        <w:keepLines w:val="0"/>
        <w:pageBreakBefore w:val="0"/>
        <w:widowControl w:val="0"/>
        <w:kinsoku/>
        <w:overflowPunct/>
        <w:topLinePunct w:val="0"/>
        <w:autoSpaceDE/>
        <w:autoSpaceDN/>
        <w:bidi w:val="0"/>
        <w:spacing w:line="400" w:lineRule="exact"/>
        <w:ind w:firstLine="643" w:firstLineChars="200"/>
        <w:jc w:val="both"/>
        <w:textAlignment w:val="auto"/>
        <w:rPr>
          <w:rFonts w:hint="eastAsia" w:ascii="黑体" w:hAnsi="黑体" w:eastAsia="黑体" w:cs="黑体"/>
          <w:color w:val="auto"/>
          <w:sz w:val="32"/>
          <w:szCs w:val="32"/>
          <w:lang w:val="en-US"/>
        </w:rPr>
      </w:pPr>
      <w:r>
        <w:rPr>
          <w:rFonts w:hint="eastAsia" w:ascii="黑体" w:hAnsi="黑体" w:eastAsia="黑体" w:cs="黑体"/>
          <w:b/>
          <w:color w:val="auto"/>
          <w:sz w:val="32"/>
          <w:szCs w:val="32"/>
          <w:lang w:val="en-US"/>
        </w:rPr>
        <w:t>一、总体情况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根据《中华人民共和国政府信息公开条例》（以下简称《条例》），特向社会公布20</w:t>
      </w:r>
      <w:r>
        <w:rPr>
          <w:rFonts w:hint="eastAsia" w:ascii="仿宋_GB2312" w:hAnsi="仿宋_GB2312" w:eastAsia="仿宋_GB2312" w:cs="仿宋_GB2312"/>
          <w:i w:val="0"/>
          <w:caps w:val="0"/>
          <w:color w:val="333333"/>
          <w:spacing w:val="0"/>
          <w:sz w:val="32"/>
          <w:szCs w:val="32"/>
          <w:shd w:val="clear" w:color="auto" w:fill="FFFFFF"/>
          <w:lang w:val="en-US" w:eastAsia="zh-CN"/>
        </w:rPr>
        <w:t>20</w:t>
      </w:r>
      <w:r>
        <w:rPr>
          <w:rFonts w:hint="eastAsia" w:ascii="仿宋_GB2312" w:hAnsi="仿宋_GB2312" w:eastAsia="仿宋_GB2312" w:cs="仿宋_GB2312"/>
          <w:i w:val="0"/>
          <w:caps w:val="0"/>
          <w:color w:val="333333"/>
          <w:spacing w:val="0"/>
          <w:sz w:val="32"/>
          <w:szCs w:val="32"/>
          <w:shd w:val="clear" w:color="auto" w:fill="FFFFFF"/>
        </w:rPr>
        <w:t>年度本单位信息公开年度报告。本报告由总体情况、主动公开政府信息情况、收到和处理政府信息公开申请情况、政府信息公开行政复议、行政诉讼情况、存在的主要问题及改进情况等部分组成。本报告中所列数据的统计期限自20</w:t>
      </w:r>
      <w:r>
        <w:rPr>
          <w:rFonts w:hint="eastAsia" w:ascii="仿宋_GB2312" w:hAnsi="仿宋_GB2312" w:eastAsia="仿宋_GB2312" w:cs="仿宋_GB2312"/>
          <w:i w:val="0"/>
          <w:caps w:val="0"/>
          <w:color w:val="333333"/>
          <w:spacing w:val="0"/>
          <w:sz w:val="32"/>
          <w:szCs w:val="32"/>
          <w:shd w:val="clear" w:color="auto" w:fill="FFFFFF"/>
          <w:lang w:val="en-US" w:eastAsia="zh-CN"/>
        </w:rPr>
        <w:t>20</w:t>
      </w:r>
      <w:r>
        <w:rPr>
          <w:rFonts w:hint="eastAsia" w:ascii="仿宋_GB2312" w:hAnsi="仿宋_GB2312" w:eastAsia="仿宋_GB2312" w:cs="仿宋_GB2312"/>
          <w:i w:val="0"/>
          <w:caps w:val="0"/>
          <w:color w:val="333333"/>
          <w:spacing w:val="0"/>
          <w:sz w:val="32"/>
          <w:szCs w:val="32"/>
          <w:shd w:val="clear" w:color="auto" w:fill="FFFFFF"/>
        </w:rPr>
        <w:t>年1月1日起至20</w:t>
      </w:r>
      <w:r>
        <w:rPr>
          <w:rFonts w:hint="eastAsia" w:ascii="仿宋_GB2312" w:hAnsi="仿宋_GB2312" w:eastAsia="仿宋_GB2312" w:cs="仿宋_GB2312"/>
          <w:i w:val="0"/>
          <w:caps w:val="0"/>
          <w:color w:val="333333"/>
          <w:spacing w:val="0"/>
          <w:sz w:val="32"/>
          <w:szCs w:val="32"/>
          <w:shd w:val="clear" w:color="auto" w:fill="FFFFFF"/>
          <w:lang w:val="en-US" w:eastAsia="zh-CN"/>
        </w:rPr>
        <w:t>20</w:t>
      </w:r>
      <w:r>
        <w:rPr>
          <w:rFonts w:hint="eastAsia" w:ascii="仿宋_GB2312" w:hAnsi="仿宋_GB2312" w:eastAsia="仿宋_GB2312" w:cs="仿宋_GB2312"/>
          <w:i w:val="0"/>
          <w:caps w:val="0"/>
          <w:color w:val="333333"/>
          <w:spacing w:val="0"/>
          <w:sz w:val="32"/>
          <w:szCs w:val="32"/>
          <w:shd w:val="clear" w:color="auto" w:fill="FFFFFF"/>
        </w:rPr>
        <w:t>年12月31日止。本年度报告的电子版可以在湘潭县科技和工业信息化局门户网站查看。如对本年度报告有任何疑问，请联系：湘潭县科技和工业信息化局办公室（地址：湘潭县易俗河镇杏丹三路8号，邮编：411228，电话0731-57882059，电子邮箱:xtxkjgxj@163.com）。</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黑体" w:hAnsi="黑体" w:eastAsia="黑体" w:cs="黑体"/>
          <w:i w:val="0"/>
          <w:caps w:val="0"/>
          <w:color w:val="333333"/>
          <w:spacing w:val="0"/>
          <w:sz w:val="32"/>
          <w:szCs w:val="32"/>
        </w:rPr>
      </w:pPr>
      <w:r>
        <w:rPr>
          <w:rFonts w:hint="eastAsia" w:ascii="黑体" w:hAnsi="黑体" w:eastAsia="黑体" w:cs="黑体"/>
          <w:i w:val="0"/>
          <w:caps w:val="0"/>
          <w:color w:val="333333"/>
          <w:spacing w:val="0"/>
          <w:sz w:val="32"/>
          <w:szCs w:val="32"/>
          <w:shd w:val="clear" w:color="auto" w:fill="FFFFFF"/>
        </w:rPr>
        <w:t>二、概述</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20</w:t>
      </w:r>
      <w:r>
        <w:rPr>
          <w:rFonts w:hint="eastAsia" w:ascii="仿宋_GB2312" w:hAnsi="仿宋_GB2312" w:eastAsia="仿宋_GB2312" w:cs="仿宋_GB2312"/>
          <w:i w:val="0"/>
          <w:caps w:val="0"/>
          <w:color w:val="333333"/>
          <w:spacing w:val="0"/>
          <w:sz w:val="32"/>
          <w:szCs w:val="32"/>
          <w:shd w:val="clear" w:color="auto" w:fill="FFFFFF"/>
          <w:lang w:val="en-US" w:eastAsia="zh-CN"/>
        </w:rPr>
        <w:t>20</w:t>
      </w:r>
      <w:r>
        <w:rPr>
          <w:rFonts w:hint="eastAsia" w:ascii="仿宋_GB2312" w:hAnsi="仿宋_GB2312" w:eastAsia="仿宋_GB2312" w:cs="仿宋_GB2312"/>
          <w:i w:val="0"/>
          <w:caps w:val="0"/>
          <w:color w:val="333333"/>
          <w:spacing w:val="0"/>
          <w:sz w:val="32"/>
          <w:szCs w:val="32"/>
          <w:shd w:val="clear" w:color="auto" w:fill="FFFFFF"/>
        </w:rPr>
        <w:t>年，湘潭县科技和工业信息化局通过加强载体建设、强化组织领导、健全规章制度、落实监督检查等举措，全面落实《条例》，保障湘潭县科技和工业信息化局信息公开工作依法、及时、准确、有序地开展。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（一）强化组织领导，健全工作机制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为确保政府信息公开工作实施到位，我局成立政府信息公开领导小组，由党委书记任顾问、局长任组长，党委其他成员任副组长，党委委员、副局长黄飞龙为具体分管领导，各股室负责人为成员；制定政府信息公开工作制度，明确各自的职能职责；建立政务公开保密审查制度和责任追究制度，实行严格的保密审查程序；规范公开服务程序，按照政府信息公开工作的要求，在局机关大院悬挂政府信息公开栏以及服务流程图、服务承诺等制度，在局大门口悬挂办事指南、股室分布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（二）完善公开形式，拓宽公开载体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一是在“湘潭县科技和工业信息化局门户网站”、局机关大院公开本局的职能职责、机构设置、领导人员职务以及分管领域等基本情况，印发系统内部通讯手册，从而为全县工业企业提供更为有效的帮扶措施，提供更加贴心的政府服务，为企业营造良好的发展环境。二是设立举报箱和咨询、投诉电话，公开纪检监察信访举报工作程序。三是建立领导接待日制度，接待处理各种事件。四是设置政府信息公开墙板，明确办事的程序和相应的规章制度。五是积极推行局机关账务公开，分季度定期公开机关主要费用支出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（三）强化工作措施，促进工作开展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一是及时办结人民群众反映强烈的问题。我局对各级领导批示，人大代表、政协委员建议或提案，群众反映强烈的来电、来信、来访，由专人接待登记后，经局领导批示，及时、妥善的进行处理，对一时无法解决的问题，认真说明原因，并明确答复期限。二是认真完成政府交办的工作任务。对于县委、县政府交办的各项工作任务，我局领导高度重视，时常亲力亲为，把人民群众满意作为工作的出发点和落脚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lang w:eastAsia="zh-CN"/>
        </w:rPr>
        <w:t>（四）</w:t>
      </w:r>
      <w:r>
        <w:rPr>
          <w:rFonts w:hint="eastAsia" w:ascii="仿宋_GB2312" w:hAnsi="仿宋_GB2312" w:eastAsia="仿宋_GB2312" w:cs="仿宋_GB2312"/>
          <w:i w:val="0"/>
          <w:caps w:val="0"/>
          <w:color w:val="333333"/>
          <w:spacing w:val="0"/>
          <w:sz w:val="32"/>
          <w:szCs w:val="32"/>
          <w:shd w:val="clear" w:color="auto" w:fill="FFFFFF"/>
        </w:rPr>
        <w:t>规范操作，保证质量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严格遵循政府信息公开基本原则和《湘潭县科技和工业信息化局信息及调研文章报送奖励制度》，本着“公开是原则，不公开是例外；公开不涉密，涉密不公开”的要求，注重防止搞形式主义和应付式的工作态度，做到“依法公开，真实公开，注重实效，有利监督”。对应主动公开的信息，依照提报、审核、公开的程序进行，经常性工作定期公开、阶段性工作逐段公开、临时性工作随时公开。为保证录入规范，局信息员加入县政府网站工作QQ群，并在群中认真学习行政审批服务局的有关要求，积极借鉴兄弟单位好的做法，加强和行政审批服务局的联系，对行政审批服务局提出的问题，迅速改进。同时，组织相关人员网上查看，现场纠正不规范问题，确保格式、内容、分类、时间等信息发布质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color w:val="auto"/>
          <w:sz w:val="32"/>
          <w:szCs w:val="32"/>
          <w:lang w:val="en-US"/>
        </w:rPr>
      </w:pPr>
      <w:r>
        <w:rPr>
          <w:rFonts w:hint="eastAsia" w:ascii="黑体" w:hAnsi="黑体" w:eastAsia="黑体" w:cs="黑体"/>
          <w:b/>
          <w:color w:val="auto"/>
          <w:sz w:val="32"/>
          <w:szCs w:val="32"/>
          <w:lang w:val="en-US" w:eastAsia="zh-CN"/>
        </w:rPr>
        <w:t>三</w:t>
      </w:r>
      <w:r>
        <w:rPr>
          <w:rFonts w:hint="eastAsia" w:ascii="黑体" w:hAnsi="黑体" w:eastAsia="黑体" w:cs="黑体"/>
          <w:b/>
          <w:color w:val="auto"/>
          <w:sz w:val="32"/>
          <w:szCs w:val="32"/>
          <w:lang w:val="en-US"/>
        </w:rPr>
        <w:t>、主动公开政府信息情况</w:t>
      </w:r>
    </w:p>
    <w:tbl>
      <w:tblPr>
        <w:tblStyle w:val="4"/>
        <w:tblW w:w="8146" w:type="dxa"/>
        <w:jc w:val="center"/>
        <w:tblLayout w:type="autofit"/>
        <w:tblCellMar>
          <w:top w:w="0" w:type="dxa"/>
          <w:left w:w="0" w:type="dxa"/>
          <w:bottom w:w="0" w:type="dxa"/>
          <w:right w:w="0" w:type="dxa"/>
        </w:tblCellMar>
      </w:tblPr>
      <w:tblGrid>
        <w:gridCol w:w="3113"/>
        <w:gridCol w:w="1881"/>
        <w:gridCol w:w="1271"/>
        <w:gridCol w:w="1881"/>
      </w:tblGrid>
      <w:tr>
        <w:tblPrEx>
          <w:tblCellMar>
            <w:top w:w="0" w:type="dxa"/>
            <w:left w:w="0" w:type="dxa"/>
            <w:bottom w:w="0" w:type="dxa"/>
            <w:right w:w="0" w:type="dxa"/>
          </w:tblCellMar>
        </w:tblPrEx>
        <w:trPr>
          <w:trHeight w:val="454" w:hRule="atLeast"/>
          <w:jc w:val="center"/>
        </w:trPr>
        <w:tc>
          <w:tcPr>
            <w:tcW w:w="8146"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第二十条第（一）项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本年新</w:t>
            </w:r>
            <w:r>
              <w:rPr>
                <w:rFonts w:hint="default" w:ascii="Times New Roman" w:hAnsi="Times New Roman" w:eastAsia="宋体" w:cs="Times New Roman"/>
                <w:sz w:val="20"/>
                <w:lang w:val="en-US" w:bidi="ar"/>
              </w:rPr>
              <w:br w:type="textWrapping"/>
            </w:r>
            <w:r>
              <w:rPr>
                <w:rFonts w:hint="default" w:ascii="Times New Roman" w:hAnsi="Times New Roman" w:eastAsia="宋体" w:cs="Times New Roman"/>
                <w:color w:val="auto"/>
                <w:sz w:val="20"/>
                <w:lang w:val="en-US" w:bidi="ar"/>
              </w:rPr>
              <w:t>制作数量</w:t>
            </w:r>
          </w:p>
        </w:tc>
        <w:tc>
          <w:tcPr>
            <w:tcW w:w="1271"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本年新</w:t>
            </w:r>
            <w:r>
              <w:rPr>
                <w:rFonts w:hint="default" w:ascii="Times New Roman" w:hAnsi="Times New Roman" w:eastAsia="宋体" w:cs="Times New Roman"/>
                <w:sz w:val="20"/>
                <w:lang w:val="en-US" w:bidi="ar"/>
              </w:rPr>
              <w:br w:type="textWrapping"/>
            </w:r>
            <w:r>
              <w:rPr>
                <w:rFonts w:hint="default" w:ascii="Times New Roman" w:hAnsi="Times New Roman" w:eastAsia="宋体" w:cs="Times New Roman"/>
                <w:color w:val="auto"/>
                <w:sz w:val="20"/>
                <w:lang w:val="en-US" w:bidi="ar"/>
              </w:rPr>
              <w:t>公开数量</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对外公开总数量</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 w:val="21"/>
                <w:szCs w:val="24"/>
                <w:lang w:val="en-US" w:eastAsia="zh-CN"/>
              </w:rPr>
            </w:pPr>
            <w:r>
              <w:rPr>
                <w:rFonts w:hint="eastAsia" w:eastAsia="宋体" w:cs="Times New Roman"/>
                <w:sz w:val="20"/>
                <w:lang w:val="en-US" w:eastAsia="zh-CN" w:bidi="ar"/>
              </w:rPr>
              <w:t>0</w:t>
            </w:r>
          </w:p>
        </w:tc>
        <w:tc>
          <w:tcPr>
            <w:tcW w:w="127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 w:val="21"/>
                <w:szCs w:val="24"/>
                <w:lang w:val="en-US" w:eastAsia="zh-CN"/>
              </w:rPr>
            </w:pPr>
            <w:r>
              <w:rPr>
                <w:rFonts w:hint="eastAsia" w:eastAsia="宋体" w:cs="Times New Roman"/>
                <w:sz w:val="20"/>
                <w:lang w:val="en-US" w:eastAsia="zh-CN" w:bidi="ar"/>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eastAsia="zh-CN"/>
              </w:rPr>
            </w:pPr>
            <w:r>
              <w:rPr>
                <w:rFonts w:hint="eastAsia" w:eastAsia="宋体" w:cs="Times New Roman"/>
                <w:color w:val="auto"/>
                <w:kern w:val="2"/>
                <w:sz w:val="21"/>
                <w:szCs w:val="24"/>
                <w:lang w:val="en-US" w:eastAsia="zh-CN"/>
              </w:rPr>
              <w:t>0</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24</w:t>
            </w:r>
          </w:p>
        </w:tc>
        <w:tc>
          <w:tcPr>
            <w:tcW w:w="127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17</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17</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第二十条第（五）项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上一年项目数量</w:t>
            </w:r>
          </w:p>
        </w:tc>
        <w:tc>
          <w:tcPr>
            <w:tcW w:w="1271"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本年增/减</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处理决定数量</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行政许可</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0</w:t>
            </w:r>
          </w:p>
        </w:tc>
        <w:tc>
          <w:tcPr>
            <w:tcW w:w="127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0</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其他对外管理服务事项</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0</w:t>
            </w:r>
          </w:p>
        </w:tc>
        <w:tc>
          <w:tcPr>
            <w:tcW w:w="127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0</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第二十条第（六）项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上一年项目数量</w:t>
            </w:r>
          </w:p>
        </w:tc>
        <w:tc>
          <w:tcPr>
            <w:tcW w:w="1271"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本年增/减</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处理决定数量</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行政处罚</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sz w:val="20"/>
                <w:lang w:val="en-US" w:eastAsia="zh-CN" w:bidi="ar"/>
              </w:rPr>
              <w:t>0</w:t>
            </w:r>
          </w:p>
        </w:tc>
        <w:tc>
          <w:tcPr>
            <w:tcW w:w="127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sz w:val="20"/>
                <w:lang w:val="en-US" w:eastAsia="zh-CN" w:bidi="ar"/>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sz w:val="20"/>
                <w:lang w:val="en-US" w:eastAsia="zh-CN" w:bidi="ar"/>
              </w:rPr>
              <w:t>0</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行政强制</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sz w:val="20"/>
                <w:lang w:val="en-US" w:eastAsia="zh-CN" w:bidi="ar"/>
              </w:rPr>
              <w:t>0</w:t>
            </w:r>
          </w:p>
        </w:tc>
        <w:tc>
          <w:tcPr>
            <w:tcW w:w="127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sz w:val="20"/>
                <w:lang w:val="en-US" w:eastAsia="zh-CN" w:bidi="ar"/>
              </w:rPr>
              <w:t>0</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sz w:val="20"/>
                <w:lang w:val="en-US" w:eastAsia="zh-CN" w:bidi="ar"/>
              </w:rPr>
              <w:t>0</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第二十条第（八）项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信息内容</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上一年项目数量</w:t>
            </w:r>
          </w:p>
        </w:tc>
        <w:tc>
          <w:tcPr>
            <w:tcW w:w="3152" w:type="dxa"/>
            <w:gridSpan w:val="2"/>
            <w:tcBorders>
              <w:top w:val="single" w:color="auto" w:sz="8" w:space="0"/>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本年增/减</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行政事业性收费</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0</w:t>
            </w:r>
          </w:p>
        </w:tc>
        <w:tc>
          <w:tcPr>
            <w:tcW w:w="3152" w:type="dxa"/>
            <w:gridSpan w:val="2"/>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sz w:val="20"/>
                <w:lang w:val="en-US" w:eastAsia="zh-CN" w:bidi="ar"/>
              </w:rPr>
              <w:t>0</w:t>
            </w:r>
          </w:p>
        </w:tc>
      </w:tr>
      <w:tr>
        <w:tblPrEx>
          <w:tblCellMar>
            <w:top w:w="0" w:type="dxa"/>
            <w:left w:w="0" w:type="dxa"/>
            <w:bottom w:w="0" w:type="dxa"/>
            <w:right w:w="0" w:type="dxa"/>
          </w:tblCellMar>
        </w:tblPrEx>
        <w:trPr>
          <w:trHeight w:val="454" w:hRule="atLeast"/>
          <w:jc w:val="center"/>
        </w:trPr>
        <w:tc>
          <w:tcPr>
            <w:tcW w:w="8146"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第二十条第（九）项</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信息内容</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采购项目数量</w:t>
            </w:r>
          </w:p>
        </w:tc>
        <w:tc>
          <w:tcPr>
            <w:tcW w:w="3152" w:type="dxa"/>
            <w:gridSpan w:val="2"/>
            <w:tcBorders>
              <w:top w:val="single" w:color="auto" w:sz="8" w:space="0"/>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采购总金额</w:t>
            </w:r>
          </w:p>
        </w:tc>
      </w:tr>
      <w:tr>
        <w:tblPrEx>
          <w:tblCellMar>
            <w:top w:w="0" w:type="dxa"/>
            <w:left w:w="0" w:type="dxa"/>
            <w:bottom w:w="0" w:type="dxa"/>
            <w:right w:w="0" w:type="dxa"/>
          </w:tblCellMar>
        </w:tblPrEx>
        <w:trPr>
          <w:trHeight w:val="454"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政府集中采购</w:t>
            </w:r>
          </w:p>
        </w:tc>
        <w:tc>
          <w:tcPr>
            <w:tcW w:w="1881" w:type="dxa"/>
            <w:tcBorders>
              <w:top w:val="nil"/>
              <w:left w:val="nil"/>
              <w:bottom w:val="single" w:color="auto" w:sz="8" w:space="0"/>
              <w:right w:val="single" w:color="auto"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0</w:t>
            </w:r>
          </w:p>
        </w:tc>
        <w:tc>
          <w:tcPr>
            <w:tcW w:w="3152" w:type="dxa"/>
            <w:gridSpan w:val="2"/>
            <w:tcBorders>
              <w:top w:val="nil"/>
              <w:left w:val="nil"/>
              <w:bottom w:val="single" w:color="auto" w:sz="8" w:space="0"/>
              <w:right w:val="single" w:color="000000" w:sz="8" w:space="0"/>
            </w:tcBorders>
            <w:noWrap/>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Cs w:val="24"/>
                <w:lang w:val="en-US" w:eastAsia="zh-CN"/>
              </w:rPr>
            </w:pPr>
            <w:r>
              <w:rPr>
                <w:rFonts w:hint="eastAsia" w:ascii="Times New Roman" w:hAnsi="Times New Roman" w:eastAsia="宋体" w:cs="Times New Roman"/>
                <w:color w:val="auto"/>
                <w:kern w:val="2"/>
                <w:szCs w:val="24"/>
                <w:lang w:val="en-US" w:eastAsia="zh-CN"/>
              </w:rPr>
              <w:t>0</w:t>
            </w:r>
          </w:p>
        </w:tc>
      </w:tr>
    </w:tbl>
    <w:p>
      <w:pPr>
        <w:keepNext w:val="0"/>
        <w:keepLines w:val="0"/>
        <w:pageBreakBefore w:val="0"/>
        <w:widowControl w:val="0"/>
        <w:kinsoku/>
        <w:overflowPunct/>
        <w:topLinePunct w:val="0"/>
        <w:autoSpaceDE/>
        <w:autoSpaceDN/>
        <w:bidi w:val="0"/>
        <w:spacing w:after="240"/>
        <w:jc w:val="both"/>
        <w:textAlignment w:val="auto"/>
        <w:rPr>
          <w:rFonts w:hint="default" w:ascii="Times New Roman" w:hAnsi="Times New Roman" w:eastAsia="宋体" w:cs="Times New Roman"/>
          <w:b/>
          <w:color w:val="auto"/>
          <w:szCs w:val="24"/>
          <w:lang w:val="en-US"/>
        </w:rPr>
      </w:pPr>
    </w:p>
    <w:p>
      <w:pPr>
        <w:keepNext w:val="0"/>
        <w:keepLines w:val="0"/>
        <w:pageBreakBefore w:val="0"/>
        <w:widowControl w:val="0"/>
        <w:kinsoku/>
        <w:overflowPunct/>
        <w:topLinePunct w:val="0"/>
        <w:autoSpaceDE/>
        <w:autoSpaceDN/>
        <w:bidi w:val="0"/>
        <w:spacing w:after="240"/>
        <w:ind w:firstLine="643" w:firstLineChars="200"/>
        <w:jc w:val="both"/>
        <w:textAlignment w:val="auto"/>
        <w:rPr>
          <w:rFonts w:hint="eastAsia" w:ascii="黑体" w:hAnsi="黑体" w:eastAsia="黑体" w:cs="黑体"/>
          <w:color w:val="auto"/>
          <w:sz w:val="32"/>
          <w:szCs w:val="32"/>
          <w:lang w:val="en-US"/>
        </w:rPr>
      </w:pPr>
      <w:r>
        <w:rPr>
          <w:rFonts w:hint="eastAsia" w:ascii="黑体" w:hAnsi="黑体" w:eastAsia="黑体" w:cs="黑体"/>
          <w:b/>
          <w:color w:val="auto"/>
          <w:sz w:val="32"/>
          <w:szCs w:val="32"/>
          <w:lang w:val="en-US" w:eastAsia="zh-CN"/>
        </w:rPr>
        <w:t>四</w:t>
      </w:r>
      <w:r>
        <w:rPr>
          <w:rFonts w:hint="eastAsia" w:ascii="黑体" w:hAnsi="黑体" w:eastAsia="黑体" w:cs="黑体"/>
          <w:b/>
          <w:color w:val="auto"/>
          <w:sz w:val="32"/>
          <w:szCs w:val="32"/>
          <w:lang w:val="en-US"/>
        </w:rPr>
        <w:t>、收到和处理政府信息公开申请情况</w:t>
      </w:r>
    </w:p>
    <w:tbl>
      <w:tblPr>
        <w:tblStyle w:val="4"/>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616"/>
        <w:gridCol w:w="854"/>
        <w:gridCol w:w="2489"/>
        <w:gridCol w:w="570"/>
        <w:gridCol w:w="690"/>
        <w:gridCol w:w="660"/>
        <w:gridCol w:w="813"/>
        <w:gridCol w:w="973"/>
        <w:gridCol w:w="711"/>
        <w:gridCol w:w="695"/>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959" w:type="dxa"/>
            <w:gridSpan w:val="3"/>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（本列数据的勾稽关系为：第一项加第二项之和，等于第三项加第四项之和）</w:t>
            </w:r>
          </w:p>
        </w:tc>
        <w:tc>
          <w:tcPr>
            <w:tcW w:w="5112" w:type="dxa"/>
            <w:gridSpan w:val="7"/>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申请人情况</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959"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570"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26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自然人</w:t>
            </w:r>
          </w:p>
        </w:tc>
        <w:tc>
          <w:tcPr>
            <w:tcW w:w="3847"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26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法人或其他组织</w:t>
            </w:r>
          </w:p>
        </w:tc>
        <w:tc>
          <w:tcPr>
            <w:tcW w:w="695"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959" w:type="dxa"/>
            <w:gridSpan w:val="3"/>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570"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26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商业企业</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26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科研机构</w:t>
            </w:r>
          </w:p>
        </w:tc>
        <w:tc>
          <w:tcPr>
            <w:tcW w:w="813"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26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社会公益组织</w:t>
            </w:r>
          </w:p>
        </w:tc>
        <w:tc>
          <w:tcPr>
            <w:tcW w:w="973"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26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法律服务机构</w:t>
            </w:r>
          </w:p>
        </w:tc>
        <w:tc>
          <w:tcPr>
            <w:tcW w:w="711"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26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其他</w:t>
            </w:r>
          </w:p>
        </w:tc>
        <w:tc>
          <w:tcPr>
            <w:tcW w:w="695"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3959"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一、本年新收政府信息公开申请数量</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3959"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二、上年结转政府信息公开申请数量</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三、本年度办理结果</w:t>
            </w:r>
          </w:p>
        </w:tc>
        <w:tc>
          <w:tcPr>
            <w:tcW w:w="3343"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（一）予以公开</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sz w:val="20"/>
                <w:lang w:val="en-US" w:eastAsia="zh-CN" w:bidi="ar"/>
              </w:rPr>
              <w:t>0</w:t>
            </w:r>
          </w:p>
        </w:tc>
        <w:tc>
          <w:tcPr>
            <w:tcW w:w="69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3343"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（二）部分公开（区分处理的，只计这一情形，不计其他情形）</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（三）不予公开</w:t>
            </w: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1.属于国家秘密</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2.其他法律行政法规禁止公开</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3.危及“三安全一稳定”</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4.保护第三方合法权益</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5.属于三类内部事务信息</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6.属于四类过程性信息</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7.属于行政执法案卷</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8.属于行政查询事项</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（四）无法提供</w:t>
            </w: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1.本机关不掌握相关政府信息</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2.没有现成信息需要另行制作</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3.补正后申请内容仍不明确</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（五）不予处理</w:t>
            </w: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1.信访举报投诉类申请</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2.重复申请</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3.要求提供公开出版物</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4.无正当理由大量反复申请</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85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2489"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5.要求行政机关确认或重新出具已获取信息</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3343"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（六）其他处理</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97" w:hRule="exact"/>
          <w:jc w:val="center"/>
        </w:trPr>
        <w:tc>
          <w:tcPr>
            <w:tcW w:w="616"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3343" w:type="dxa"/>
            <w:gridSpan w:val="2"/>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楷体" w:cs="Times New Roman"/>
                <w:color w:val="auto"/>
                <w:sz w:val="20"/>
                <w:lang w:val="en-US" w:bidi="ar"/>
              </w:rPr>
              <w:t>（七）总计</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63" w:hRule="atLeast"/>
          <w:jc w:val="center"/>
        </w:trPr>
        <w:tc>
          <w:tcPr>
            <w:tcW w:w="3959" w:type="dxa"/>
            <w:gridSpan w:val="3"/>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四、结转下年度继续办理</w:t>
            </w:r>
          </w:p>
        </w:tc>
        <w:tc>
          <w:tcPr>
            <w:tcW w:w="57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66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81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973"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rPr>
              <w:t>0</w:t>
            </w:r>
          </w:p>
        </w:tc>
        <w:tc>
          <w:tcPr>
            <w:tcW w:w="711"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c>
          <w:tcPr>
            <w:tcW w:w="69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line="300" w:lineRule="exact"/>
              <w:jc w:val="center"/>
              <w:textAlignment w:val="auto"/>
              <w:rPr>
                <w:rFonts w:hint="default"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sz w:val="20"/>
                <w:lang w:val="en-US" w:eastAsia="zh-CN" w:bidi="ar"/>
              </w:rPr>
              <w:t>0</w:t>
            </w:r>
          </w:p>
        </w:tc>
      </w:tr>
    </w:tbl>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b/>
          <w:color w:val="auto"/>
          <w:szCs w:val="24"/>
          <w:lang w:val="en-US"/>
        </w:rPr>
      </w:pPr>
    </w:p>
    <w:p>
      <w:pPr>
        <w:keepNext w:val="0"/>
        <w:keepLines w:val="0"/>
        <w:pageBreakBefore w:val="0"/>
        <w:widowControl w:val="0"/>
        <w:kinsoku/>
        <w:overflowPunct/>
        <w:topLinePunct w:val="0"/>
        <w:autoSpaceDE/>
        <w:autoSpaceDN/>
        <w:bidi w:val="0"/>
        <w:ind w:firstLine="643" w:firstLineChars="200"/>
        <w:jc w:val="both"/>
        <w:textAlignment w:val="auto"/>
        <w:rPr>
          <w:rFonts w:hint="eastAsia" w:ascii="黑体" w:hAnsi="黑体" w:eastAsia="黑体" w:cs="黑体"/>
          <w:color w:val="auto"/>
          <w:sz w:val="32"/>
          <w:szCs w:val="32"/>
          <w:lang w:val="en-US"/>
        </w:rPr>
      </w:pPr>
      <w:r>
        <w:rPr>
          <w:rFonts w:hint="eastAsia" w:ascii="黑体" w:hAnsi="黑体" w:eastAsia="黑体" w:cs="黑体"/>
          <w:b/>
          <w:color w:val="auto"/>
          <w:sz w:val="32"/>
          <w:szCs w:val="32"/>
          <w:lang w:val="en-US" w:eastAsia="zh-CN"/>
        </w:rPr>
        <w:t>五</w:t>
      </w:r>
      <w:r>
        <w:rPr>
          <w:rFonts w:hint="eastAsia" w:ascii="黑体" w:hAnsi="黑体" w:eastAsia="黑体" w:cs="黑体"/>
          <w:b/>
          <w:color w:val="auto"/>
          <w:sz w:val="32"/>
          <w:szCs w:val="32"/>
          <w:lang w:val="en-US"/>
        </w:rPr>
        <w:t>、政府信息公开行政复议、行政诉讼情况</w:t>
      </w:r>
    </w:p>
    <w:p>
      <w:pPr>
        <w:keepNext w:val="0"/>
        <w:keepLines w:val="0"/>
        <w:pageBreakBefore w:val="0"/>
        <w:widowControl w:val="0"/>
        <w:kinsoku/>
        <w:overflowPunct/>
        <w:topLinePunct w:val="0"/>
        <w:autoSpaceDE/>
        <w:autoSpaceDN/>
        <w:bidi w:val="0"/>
        <w:ind w:firstLine="420"/>
        <w:jc w:val="both"/>
        <w:textAlignment w:val="auto"/>
        <w:rPr>
          <w:rFonts w:hint="default" w:ascii="Times New Roman" w:hAnsi="Times New Roman" w:eastAsia="宋体" w:cs="Times New Roman"/>
          <w:color w:val="auto"/>
          <w:szCs w:val="24"/>
          <w:lang w:val="en-US"/>
        </w:rPr>
      </w:pPr>
    </w:p>
    <w:tbl>
      <w:tblPr>
        <w:tblStyle w:val="4"/>
        <w:tblW w:w="9071"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行政复议</w:t>
            </w:r>
          </w:p>
        </w:tc>
        <w:tc>
          <w:tcPr>
            <w:tcW w:w="5997" w:type="dxa"/>
            <w:gridSpan w:val="10"/>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行政诉讼</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结果维持</w:t>
            </w:r>
          </w:p>
        </w:tc>
        <w:tc>
          <w:tcPr>
            <w:tcW w:w="604" w:type="dxa"/>
            <w:vMerge w:val="restart"/>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结果纠正</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其他结果</w:t>
            </w:r>
          </w:p>
        </w:tc>
        <w:tc>
          <w:tcPr>
            <w:tcW w:w="604"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尚未审结</w:t>
            </w:r>
          </w:p>
        </w:tc>
        <w:tc>
          <w:tcPr>
            <w:tcW w:w="658" w:type="dxa"/>
            <w:vMerge w:val="restart"/>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总计</w:t>
            </w:r>
          </w:p>
        </w:tc>
        <w:tc>
          <w:tcPr>
            <w:tcW w:w="2970"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未经复议直接起诉</w:t>
            </w:r>
          </w:p>
        </w:tc>
        <w:tc>
          <w:tcPr>
            <w:tcW w:w="3027" w:type="dxa"/>
            <w:gridSpan w:val="5"/>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复议后起诉</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604" w:type="dxa"/>
            <w:vMerge w:val="continue"/>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604"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658" w:type="dxa"/>
            <w:vMerge w:val="continue"/>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both"/>
              <w:textAlignment w:val="auto"/>
              <w:rPr>
                <w:rFonts w:hint="default" w:ascii="Times New Roman" w:hAnsi="Times New Roman" w:eastAsia="宋体" w:cs="Times New Roman"/>
                <w:color w:val="auto"/>
                <w:kern w:val="2"/>
                <w:sz w:val="21"/>
                <w:szCs w:val="24"/>
                <w:lang w:val="en-US"/>
              </w:rPr>
            </w:pPr>
          </w:p>
        </w:tc>
        <w:tc>
          <w:tcPr>
            <w:tcW w:w="55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结果维持</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其他结果</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尚未审结</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总计</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结果维持</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结果纠正</w:t>
            </w:r>
          </w:p>
        </w:tc>
        <w:tc>
          <w:tcPr>
            <w:tcW w:w="605"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其他结果</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color w:val="auto"/>
                <w:sz w:val="20"/>
                <w:lang w:val="en-US" w:bidi="ar"/>
              </w:rPr>
              <w:t>尚未审结</w:t>
            </w:r>
          </w:p>
        </w:tc>
        <w:tc>
          <w:tcPr>
            <w:tcW w:w="606" w:type="dxa"/>
            <w:tcBorders>
              <w:top w:val="single" w:color="auto" w:sz="8" w:space="0"/>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default" w:ascii="Times New Roman" w:hAnsi="Times New Roman" w:eastAsia="宋体" w:cs="Times New Roman"/>
                <w:sz w:val="20"/>
                <w:lang w:val="en-US" w:bidi="ar"/>
              </w:rPr>
              <w:t>总计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default" w:ascii="Times New Roman" w:hAnsi="Times New Roman" w:eastAsia="宋体" w:cs="Times New Roman"/>
                <w:color w:val="auto"/>
                <w:kern w:val="2"/>
                <w:sz w:val="21"/>
                <w:szCs w:val="24"/>
                <w:lang w:val="en-US"/>
              </w:rPr>
            </w:pPr>
            <w:r>
              <w:rPr>
                <w:rFonts w:hint="eastAsia" w:ascii="Times New Roman" w:hAnsi="Times New Roman" w:eastAsia="宋体" w:cs="Times New Roman"/>
                <w:color w:val="auto"/>
                <w:sz w:val="20"/>
                <w:lang w:val="en-US" w:eastAsia="zh-CN" w:bidi="ar"/>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04"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58"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550"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05"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sz w:val="20"/>
                <w:lang w:val="en-US" w:eastAsia="zh-CN" w:bidi="ar"/>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spacing w:after="180"/>
              <w:jc w:val="center"/>
              <w:textAlignment w:val="auto"/>
              <w:rPr>
                <w:rFonts w:hint="eastAsia" w:ascii="Times New Roman" w:hAnsi="Times New Roman" w:eastAsia="宋体" w:cs="Times New Roman"/>
                <w:color w:val="auto"/>
                <w:kern w:val="2"/>
                <w:sz w:val="21"/>
                <w:szCs w:val="24"/>
                <w:lang w:val="en-US" w:eastAsia="zh-CN"/>
              </w:rPr>
            </w:pPr>
            <w:r>
              <w:rPr>
                <w:rFonts w:hint="eastAsia" w:ascii="Times New Roman" w:hAnsi="Times New Roman" w:eastAsia="宋体" w:cs="Times New Roman"/>
                <w:color w:val="auto"/>
                <w:sz w:val="20"/>
                <w:lang w:val="en-US" w:eastAsia="zh-CN" w:bidi="ar"/>
              </w:rPr>
              <w:t>0</w:t>
            </w:r>
          </w:p>
        </w:tc>
        <w:tc>
          <w:tcPr>
            <w:tcW w:w="606" w:type="dxa"/>
            <w:tcBorders>
              <w:top w:val="nil"/>
              <w:left w:val="nil"/>
              <w:bottom w:val="single" w:color="auto" w:sz="8" w:space="0"/>
              <w:right w:val="single" w:color="auto" w:sz="8" w:space="0"/>
            </w:tcBorders>
            <w:noWrap w:val="0"/>
            <w:tcMar>
              <w:left w:w="108" w:type="dxa"/>
              <w:right w:w="108" w:type="dxa"/>
            </w:tcMar>
            <w:vAlign w:val="center"/>
          </w:tcPr>
          <w:p>
            <w:pPr>
              <w:keepNext w:val="0"/>
              <w:keepLines w:val="0"/>
              <w:pageBreakBefore w:val="0"/>
              <w:widowControl w:val="0"/>
              <w:kinsoku/>
              <w:overflowPunct/>
              <w:topLinePunct w:val="0"/>
              <w:autoSpaceDE/>
              <w:autoSpaceDN/>
              <w:bidi w:val="0"/>
              <w:jc w:val="center"/>
              <w:textAlignment w:val="auto"/>
              <w:rPr>
                <w:rFonts w:hint="eastAsia" w:ascii="Times New Roman" w:hAnsi="Times New Roman" w:eastAsia="宋体" w:cs="Times New Roman"/>
                <w:color w:val="auto"/>
                <w:kern w:val="2"/>
                <w:szCs w:val="24"/>
                <w:lang w:val="en-US" w:eastAsia="zh-CN"/>
              </w:rPr>
            </w:pPr>
            <w:r>
              <w:rPr>
                <w:rFonts w:hint="eastAsia" w:ascii="Times New Roman" w:hAnsi="Times New Roman" w:eastAsia="宋体" w:cs="Times New Roman"/>
                <w:color w:val="auto"/>
                <w:kern w:val="2"/>
                <w:szCs w:val="24"/>
                <w:lang w:val="en-US" w:eastAsia="zh-CN"/>
              </w:rPr>
              <w:t>0</w:t>
            </w:r>
          </w:p>
        </w:tc>
      </w:tr>
    </w:tbl>
    <w:p>
      <w:pPr>
        <w:keepNext w:val="0"/>
        <w:keepLines w:val="0"/>
        <w:pageBreakBefore w:val="0"/>
        <w:widowControl w:val="0"/>
        <w:kinsoku/>
        <w:overflowPunct/>
        <w:topLinePunct w:val="0"/>
        <w:autoSpaceDE/>
        <w:autoSpaceDN/>
        <w:bidi w:val="0"/>
        <w:jc w:val="center"/>
        <w:textAlignment w:val="auto"/>
        <w:rPr>
          <w:rFonts w:hint="default" w:ascii="Times New Roman" w:hAnsi="Times New Roman" w:eastAsia="宋体" w:cs="Times New Roman"/>
          <w:color w:val="auto"/>
          <w:kern w:val="2"/>
          <w:sz w:val="21"/>
          <w:szCs w:val="24"/>
          <w:lang w:val="en-US"/>
        </w:rPr>
      </w:pPr>
    </w:p>
    <w:p>
      <w:pPr>
        <w:keepNext w:val="0"/>
        <w:keepLines w:val="0"/>
        <w:pageBreakBefore w:val="0"/>
        <w:widowControl w:val="0"/>
        <w:numPr>
          <w:ilvl w:val="0"/>
          <w:numId w:val="1"/>
        </w:numPr>
        <w:kinsoku/>
        <w:overflowPunct/>
        <w:topLinePunct w:val="0"/>
        <w:autoSpaceDE/>
        <w:autoSpaceDN/>
        <w:bidi w:val="0"/>
        <w:spacing w:line="500" w:lineRule="exact"/>
        <w:ind w:firstLine="643" w:firstLineChars="200"/>
        <w:jc w:val="both"/>
        <w:textAlignment w:val="auto"/>
        <w:rPr>
          <w:rFonts w:hint="eastAsia" w:ascii="黑体" w:hAnsi="黑体" w:eastAsia="黑体" w:cs="黑体"/>
          <w:b/>
          <w:color w:val="auto"/>
          <w:sz w:val="32"/>
          <w:szCs w:val="32"/>
          <w:lang w:val="en-US"/>
        </w:rPr>
      </w:pPr>
      <w:r>
        <w:rPr>
          <w:rFonts w:hint="eastAsia" w:ascii="黑体" w:hAnsi="黑体" w:eastAsia="黑体" w:cs="黑体"/>
          <w:b/>
          <w:color w:val="auto"/>
          <w:sz w:val="32"/>
          <w:szCs w:val="32"/>
          <w:lang w:val="en-US"/>
        </w:rPr>
        <w:t>存在的主要问题及改进情况</w:t>
      </w:r>
    </w:p>
    <w:p>
      <w:pPr>
        <w:keepNext w:val="0"/>
        <w:keepLines w:val="0"/>
        <w:pageBreakBefore w:val="0"/>
        <w:widowControl w:val="0"/>
        <w:numPr>
          <w:numId w:val="0"/>
        </w:numPr>
        <w:kinsoku/>
        <w:overflowPunct/>
        <w:topLinePunct w:val="0"/>
        <w:autoSpaceDE/>
        <w:autoSpaceDN/>
        <w:bidi w:val="0"/>
        <w:spacing w:line="500" w:lineRule="exact"/>
        <w:ind w:firstLine="640" w:firstLineChars="200"/>
        <w:jc w:val="both"/>
        <w:textAlignment w:val="auto"/>
        <w:rPr>
          <w:rFonts w:hint="eastAsia" w:ascii="仿宋_GB2312" w:hAnsi="仿宋_GB2312" w:eastAsia="仿宋_GB2312" w:cs="仿宋_GB2312"/>
          <w:i w:val="0"/>
          <w:caps w:val="0"/>
          <w:color w:val="333333"/>
          <w:spacing w:val="0"/>
          <w:sz w:val="32"/>
          <w:szCs w:val="32"/>
        </w:rPr>
      </w:pPr>
      <w:bookmarkStart w:id="0" w:name="_GoBack"/>
      <w:bookmarkEnd w:id="0"/>
      <w:r>
        <w:rPr>
          <w:rFonts w:hint="eastAsia" w:ascii="仿宋_GB2312" w:hAnsi="仿宋_GB2312" w:eastAsia="仿宋_GB2312" w:cs="仿宋_GB2312"/>
          <w:i w:val="0"/>
          <w:caps w:val="0"/>
          <w:color w:val="333333"/>
          <w:spacing w:val="0"/>
          <w:sz w:val="32"/>
          <w:szCs w:val="32"/>
          <w:shd w:val="clear" w:color="auto" w:fill="FFFFFF"/>
        </w:rPr>
        <w:t>工作中存在的主要问题和困难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20</w:t>
      </w:r>
      <w:r>
        <w:rPr>
          <w:rFonts w:hint="eastAsia" w:ascii="仿宋_GB2312" w:hAnsi="仿宋_GB2312" w:eastAsia="仿宋_GB2312" w:cs="仿宋_GB2312"/>
          <w:i w:val="0"/>
          <w:caps w:val="0"/>
          <w:color w:val="333333"/>
          <w:spacing w:val="0"/>
          <w:sz w:val="32"/>
          <w:szCs w:val="32"/>
          <w:shd w:val="clear" w:color="auto" w:fill="FFFFFF"/>
          <w:lang w:val="en-US" w:eastAsia="zh-CN"/>
        </w:rPr>
        <w:t>20</w:t>
      </w:r>
      <w:r>
        <w:rPr>
          <w:rFonts w:hint="eastAsia" w:ascii="仿宋_GB2312" w:hAnsi="仿宋_GB2312" w:eastAsia="仿宋_GB2312" w:cs="仿宋_GB2312"/>
          <w:i w:val="0"/>
          <w:caps w:val="0"/>
          <w:color w:val="333333"/>
          <w:spacing w:val="0"/>
          <w:sz w:val="32"/>
          <w:szCs w:val="32"/>
          <w:shd w:val="clear" w:color="auto" w:fill="FFFFFF"/>
        </w:rPr>
        <w:t>年的政务公开政务服务工作，我局虽然取得了较好成效，但仍存在许多不足，主要表现在：公开形式的便民性需要进一步提高；信息公开工作的创新力度有待加强。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color="auto" w:fill="FFFFFF"/>
        </w:rPr>
        <w:t>下一步，我局将继续切实强化政务公开工作制度建设，采取各项有效的措施，努力改进工作中的不足，不断规范工作程序，创新工作方式，使政务公开工作在制度化、规范化方面有新的突破。一是坚持把政务公开政务服务工作作为一项长期的重要任务纳入工作日程抓实抓细。二是不断完善政务公开的制度，加大政府信息公开工作力度。三是加强网络安全建设，为政务公开政务服务工作创造良好的硬环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黑体" w:hAnsi="黑体" w:eastAsia="黑体" w:cs="黑体"/>
          <w:color w:val="auto"/>
          <w:sz w:val="32"/>
          <w:szCs w:val="32"/>
          <w:lang w:val="en-US"/>
        </w:rPr>
      </w:pPr>
      <w:r>
        <w:rPr>
          <w:rFonts w:hint="eastAsia" w:ascii="黑体" w:hAnsi="黑体" w:eastAsia="黑体" w:cs="黑体"/>
          <w:b/>
          <w:color w:val="auto"/>
          <w:sz w:val="32"/>
          <w:szCs w:val="32"/>
          <w:lang w:val="en-US" w:eastAsia="zh-CN"/>
        </w:rPr>
        <w:t>七</w:t>
      </w:r>
      <w:r>
        <w:rPr>
          <w:rFonts w:hint="eastAsia" w:ascii="黑体" w:hAnsi="黑体" w:eastAsia="黑体" w:cs="黑体"/>
          <w:b/>
          <w:color w:val="auto"/>
          <w:sz w:val="32"/>
          <w:szCs w:val="32"/>
          <w:lang w:val="en-US"/>
        </w:rPr>
        <w:t>、其他需要报告的事项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333333"/>
          <w:spacing w:val="0"/>
          <w:sz w:val="32"/>
          <w:szCs w:val="32"/>
          <w:shd w:val="clear" w:color="auto" w:fill="FFFFFF"/>
        </w:rPr>
        <w:t>2020年本单位无其他需要报告事项。</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footerReference r:id="rId3" w:type="default"/>
      <w:pgSz w:w="11906" w:h="16838"/>
      <w:pgMar w:top="2098" w:right="1531" w:bottom="1984"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2"/>
                      <w:rPr>
                        <w:rFonts w:hint="eastAsia" w:ascii="宋体" w:hAnsi="宋体" w:eastAsia="宋体" w:cs="宋体"/>
                        <w:sz w:val="28"/>
                        <w:szCs w:val="28"/>
                        <w:lang w:val="en-US"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B3515A"/>
    <w:multiLevelType w:val="singleLevel"/>
    <w:tmpl w:val="0CB3515A"/>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13301C"/>
    <w:rsid w:val="21E70F6E"/>
    <w:rsid w:val="480615D1"/>
    <w:rsid w:val="4CF45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widowControl w:val="0"/>
    </w:pPr>
    <w:rPr>
      <w:rFonts w:hint="eastAsia" w:ascii="Times New Roman" w:hAnsi="Times New Roman" w:eastAsia="Times New Roman" w:cs="Times New Roman"/>
      <w:color w:val="000000"/>
      <w:sz w:val="24"/>
      <w:lang w:val="zh-CN"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pPr>
    <w:rPr>
      <w:sz w:val="18"/>
      <w:szCs w:val="18"/>
    </w:rPr>
  </w:style>
  <w:style w:type="paragraph" w:styleId="3">
    <w:name w:val="Normal (Web)"/>
    <w:basedOn w:val="1"/>
    <w:unhideWhenUsed/>
    <w:uiPriority w:val="99"/>
    <w:pPr>
      <w:widowControl/>
      <w:spacing w:before="100" w:beforeAutospacing="1" w:after="100" w:afterAutospacing="1"/>
    </w:pPr>
    <w:rPr>
      <w:rFonts w:hint="default" w:ascii="宋体" w:hAnsi="宋体" w:eastAsia="宋体" w:cs="宋体"/>
      <w:color w:val="auto"/>
      <w:szCs w:val="24"/>
      <w:lang w:val="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相濡以沫</cp:lastModifiedBy>
  <dcterms:modified xsi:type="dcterms:W3CDTF">2021-04-07T07:44:38Z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4D99893D548B4A76A944017FA285D9E6</vt:lpwstr>
  </property>
</Properties>
</file>