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480"/>
        </w:tabs>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rPr>
        <w:t>湘潭县民政局2019年</w:t>
      </w:r>
      <w:r>
        <w:rPr>
          <w:rFonts w:hint="eastAsia" w:ascii="方正小标宋简体" w:hAnsi="方正小标宋简体" w:eastAsia="方正小标宋简体" w:cs="方正小标宋简体"/>
          <w:b w:val="0"/>
          <w:bCs/>
          <w:sz w:val="44"/>
          <w:szCs w:val="44"/>
        </w:rPr>
        <w:t>部门整体支出</w:t>
      </w:r>
    </w:p>
    <w:p>
      <w:pPr>
        <w:keepNext w:val="0"/>
        <w:keepLines w:val="0"/>
        <w:pageBreakBefore w:val="0"/>
        <w:widowControl w:val="0"/>
        <w:tabs>
          <w:tab w:val="left" w:pos="6480"/>
        </w:tabs>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绩效评价报告</w:t>
      </w:r>
    </w:p>
    <w:bookmarkEnd w:id="0"/>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 w:hAnsi="仿宋" w:eastAsia="仿宋" w:cs="仿宋"/>
                <w:color w:val="000000" w:themeColor="text1"/>
                <w:kern w:val="0"/>
                <w:sz w:val="24"/>
              </w:rPr>
              <w:t>湘潭县民政局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 w:hAnsi="仿宋" w:eastAsia="仿宋" w:cs="仿宋"/>
                <w:color w:val="000000" w:themeColor="text1"/>
              </w:rPr>
              <w:t>1058.7133</w:t>
            </w:r>
            <w:r>
              <w:rPr>
                <w:rFonts w:hint="eastAsia" w:ascii="仿宋" w:hAnsi="仿宋" w:eastAsia="仿宋" w:cs="仿宋"/>
                <w:color w:val="000000" w:themeColor="text1"/>
                <w:kern w:val="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80" w:rightChars="419"/>
              <w:jc w:val="center"/>
              <w:rPr>
                <w:rFonts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6"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1.贯彻执行党和国家关于民政工作的法律、法规和方针、政策；拟订全县民政事业发展规划和政策，并组织实施和监督检查。</w:t>
            </w:r>
          </w:p>
          <w:p>
            <w:pPr>
              <w:spacing w:line="560" w:lineRule="exact"/>
              <w:ind w:firstLine="420" w:firstLineChars="200"/>
              <w:rPr>
                <w:rFonts w:ascii="仿宋" w:hAnsi="仿宋" w:eastAsia="仿宋" w:cs="仿宋"/>
                <w:color w:val="000000" w:themeColor="text1"/>
                <w:kern w:val="0"/>
                <w:sz w:val="24"/>
              </w:rPr>
            </w:pPr>
            <w:r>
              <w:rPr>
                <w:rFonts w:hint="eastAsia" w:ascii="仿宋" w:hAnsi="仿宋" w:eastAsia="仿宋" w:cs="仿宋"/>
                <w:color w:val="000000" w:themeColor="text1"/>
              </w:rPr>
              <w:t>2</w:t>
            </w:r>
            <w:r>
              <w:rPr>
                <w:rFonts w:hint="eastAsia" w:ascii="仿宋" w:hAnsi="仿宋" w:eastAsia="仿宋" w:cs="仿宋"/>
                <w:color w:val="000000" w:themeColor="text1"/>
                <w:kern w:val="0"/>
                <w:sz w:val="24"/>
              </w:rPr>
              <w:t>.承担依法对全县社会团体、民办非企业单位的登记管理和监察责任。</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3.拟订全县社会救助规划、政策；健全城乡社会救助体系；负责城乡居民最低生活保障、临时救助工作；负责农村特困人员供养和敬老院建设工作；拟订城乡居民最低生活保障对象家庭收入核查办法和程序；管理和发放上级下拨的和县级安排的保障金。</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4.拟订全县城乡基层群众自治组织建设和社区建设相关制度并组织实施；提出加强和改进城乡基层政权建设的建议；指导、组织城乡社区建设和服务管理工作；推动村（居）务公开和基层民主政治建设；指导基层群众自治组织和社区组织干部的表彰。</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5.负责全县行政区划总体规划、地名管理办法的拟定并组织实施；负责行政区域界线的勘定和管理工作；负责全县法定行政区域界线争议的调查和调处工作；负责地名管理工作；组织建立和管理地名信息资料和档案。</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6.负责全县社会福利事业发展规划的拟定并组织实施；指导全县社会福利机构的建设和管理；指导老年人、孤儿和残疾人等特殊群体的权益保障工作；拟订促进慈善事业发展的规划、政策；组织、指导、社会捐助工作；审批全县性社会福利募捐义演义卖等活动。</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7.拟订全县福利彩票发行规划，组织指导全县福利彩票发行工作，确保福利彩票安全运行、健康发展；负责本级福彩公益金的管理和使用；指导、监督全县福彩公益金的管理和使用。</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8.贯彻执行国家的婚姻登记、殡葬管理和儿童收养政策并组织实施；推进婚俗和殡葬改革；负责国内收养登记工作，配合有关部门保护妇女儿童的合法权益；负责城市生活无着流浪乞讨人员救助管理工作。</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9.负责全县民政事业经费的监督和管理；负责局机关和下属单位的国有资产的管理工作；负责民政统计工作。</w:t>
            </w:r>
          </w:p>
          <w:p>
            <w:pPr>
              <w:spacing w:line="56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10.指导全县基层民政干部职工队伍建设；推进全县社会工作人才队伍建设和相关志愿者队伍建设；推进民政科技信息和民政行业标准化工作。</w:t>
            </w:r>
          </w:p>
          <w:p>
            <w:pPr>
              <w:spacing w:line="560" w:lineRule="exact"/>
              <w:ind w:firstLine="480" w:firstLineChars="200"/>
              <w:rPr>
                <w:rFonts w:hint="eastAsia" w:ascii="仿宋" w:hAnsi="仿宋" w:eastAsia="仿宋" w:cs="仿宋"/>
                <w:color w:val="000000" w:themeColor="text1"/>
                <w:kern w:val="0"/>
                <w:sz w:val="24"/>
              </w:rPr>
            </w:pPr>
            <w:r>
              <w:rPr>
                <w:rFonts w:hint="eastAsia" w:ascii="仿宋" w:hAnsi="仿宋" w:eastAsia="仿宋" w:cs="仿宋"/>
                <w:color w:val="000000" w:themeColor="text1"/>
                <w:kern w:val="0"/>
                <w:sz w:val="24"/>
              </w:rPr>
              <w:t>11.县人民政府交办的其他事项。</w:t>
            </w:r>
          </w:p>
          <w:p>
            <w:pPr>
              <w:spacing w:line="560" w:lineRule="exact"/>
              <w:ind w:firstLine="480" w:firstLineChars="200"/>
              <w:rPr>
                <w:rFonts w:hint="eastAsia" w:ascii="仿宋" w:hAnsi="仿宋" w:eastAsia="仿宋" w:cs="仿宋"/>
                <w:color w:val="000000" w:themeColor="text1"/>
                <w:kern w:val="0"/>
                <w:sz w:val="24"/>
              </w:rPr>
            </w:pPr>
          </w:p>
          <w:p>
            <w:pPr>
              <w:spacing w:line="500" w:lineRule="exact"/>
              <w:ind w:firstLine="480" w:firstLineChars="200"/>
              <w:rPr>
                <w:rFonts w:ascii="仿宋" w:hAnsi="仿宋" w:eastAsia="仿宋" w:cs="仿宋"/>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 xml:space="preserve"> 1、2019年年初部门预算1058.7133万元（其中基本支出732.7133万元；项目支出326万元；）。基本支出年初安排732.7133万元，包含工资福利支出610.983万，商品服务支出116.6903万，其他对个人和家庭的补助支出5.04万。年中调整数：临时救助项目上级补助收入800万元。</w:t>
            </w:r>
          </w:p>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2、部门实际支出共2726.97万元。基本支出1322.50万元，项目支出1404.47万元。</w:t>
            </w:r>
          </w:p>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 xml:space="preserve"> 3、“三公”经费预算变动率：2019年“三公”经费预算数21.10 万元，其中：公务接待费 9.1万元，公务用车运行费12 万元，因公出国（境）费0元。与上年相比持平，没有变动.</w:t>
            </w:r>
          </w:p>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 xml:space="preserve"> 4、项目经费支出情况：年度部门预算安排项目资金326万元，上级补助800万。实际支出：行政区域界线界桩管理支出7万元；图录典志编撰支出7万元；民政工作经费68万元；优抚对象集中供养63万元；殡葬92.53万元，临时救助1023.94万元；流浪乞讨人员救助57万元；城乡社会救济54万元；维稳32万元。项目都已按预期实施,项目都已经按照计划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 xml:space="preserve">          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1、预算方面：殡葬项目预算不足。</w:t>
            </w:r>
          </w:p>
          <w:p>
            <w:pPr>
              <w:spacing w:line="40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2、因单位全额编制少，工作任务量大，导致一般公用经费压力大。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pacing w:line="44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1、做好、做细预算基础工作，提高预算的准确性。</w:t>
            </w:r>
          </w:p>
          <w:p>
            <w:pPr>
              <w:spacing w:line="44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2、加大工作力度，将工作做细做实，提高工作效率，加快项目实施进度，加强预算执行进度。</w:t>
            </w:r>
          </w:p>
          <w:p>
            <w:pPr>
              <w:spacing w:line="440" w:lineRule="exact"/>
              <w:ind w:firstLine="480" w:firstLineChars="200"/>
              <w:rPr>
                <w:rFonts w:ascii="仿宋" w:hAnsi="仿宋" w:eastAsia="仿宋" w:cs="仿宋"/>
                <w:color w:val="000000" w:themeColor="text1"/>
                <w:kern w:val="0"/>
                <w:sz w:val="24"/>
              </w:rPr>
            </w:pPr>
            <w:r>
              <w:rPr>
                <w:rFonts w:hint="eastAsia" w:ascii="仿宋" w:hAnsi="仿宋" w:eastAsia="仿宋" w:cs="仿宋"/>
                <w:color w:val="000000" w:themeColor="text1"/>
                <w:kern w:val="0"/>
                <w:sz w:val="24"/>
              </w:rPr>
              <w:t>3、落实压减一般性支出，牢固树立过“紧日子”思想。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widowControl/>
        <w:spacing w:line="480" w:lineRule="exact"/>
        <w:ind w:left="91"/>
        <w:jc w:val="center"/>
        <w:rPr>
          <w:rFonts w:hint="eastAsia" w:ascii="方正小标宋_GBK" w:hAnsi="方正小标宋_GBK" w:eastAsia="方正小标宋_GBK" w:cs="方正小标宋_GBK"/>
          <w:kern w:val="0"/>
          <w:sz w:val="36"/>
          <w:szCs w:val="36"/>
        </w:rPr>
      </w:pPr>
    </w:p>
    <w:p>
      <w:pPr>
        <w:widowControl/>
        <w:spacing w:line="480" w:lineRule="exact"/>
        <w:jc w:val="both"/>
        <w:rPr>
          <w:rFonts w:ascii="方正小标宋_GBK" w:hAnsi="方正小标宋_GBK" w:eastAsia="方正小标宋_GBK" w:cs="方正小标宋_GBK"/>
          <w:kern w:val="0"/>
          <w:sz w:val="36"/>
          <w:szCs w:val="36"/>
        </w:rPr>
      </w:pPr>
    </w:p>
    <w:p>
      <w:pPr>
        <w:widowControl/>
        <w:spacing w:line="480" w:lineRule="exact"/>
        <w:ind w:left="91"/>
        <w:jc w:val="center"/>
        <w:rPr>
          <w:rFonts w:ascii="宋体" w:hAnsi="宋体" w:cs="宋体"/>
          <w:b/>
          <w:bCs/>
          <w:kern w:val="0"/>
          <w:sz w:val="36"/>
          <w:szCs w:val="36"/>
        </w:rPr>
      </w:pPr>
      <w:r>
        <w:rPr>
          <w:rFonts w:hint="eastAsia" w:ascii="宋体" w:hAnsi="宋体" w:cs="方正小标宋_GBK"/>
          <w:b/>
          <w:kern w:val="0"/>
          <w:sz w:val="36"/>
          <w:szCs w:val="36"/>
        </w:rPr>
        <w:t>民政局部门整体支出绩效评价指标完成情况表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86"/>
        <w:gridCol w:w="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675"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一级指标</w:t>
            </w:r>
          </w:p>
        </w:tc>
        <w:tc>
          <w:tcPr>
            <w:tcW w:w="70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二级指标</w:t>
            </w:r>
          </w:p>
        </w:tc>
        <w:tc>
          <w:tcPr>
            <w:tcW w:w="614"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分值</w:t>
            </w: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三级指标</w:t>
            </w:r>
          </w:p>
        </w:tc>
        <w:tc>
          <w:tcPr>
            <w:tcW w:w="3265"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指标完成情况</w:t>
            </w:r>
          </w:p>
        </w:tc>
        <w:tc>
          <w:tcPr>
            <w:tcW w:w="2278"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评价标准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分值</w:t>
            </w:r>
          </w:p>
        </w:tc>
        <w:tc>
          <w:tcPr>
            <w:tcW w:w="47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textDirection w:val="tbRlV"/>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过    程</w:t>
            </w:r>
          </w:p>
        </w:tc>
        <w:tc>
          <w:tcPr>
            <w:tcW w:w="709"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预算执行</w:t>
            </w:r>
          </w:p>
        </w:tc>
        <w:tc>
          <w:tcPr>
            <w:tcW w:w="614"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30</w:t>
            </w: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预算调整率</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预算调整率=（预算调整数/预算数）×100%。</w:t>
            </w:r>
          </w:p>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预算调整数：部门（单位）在本年度内涉及预算的追加、追减或结构调整的资金总和（因落实国家政策，发生不可抗力、上级部门或本级党委政府临时交办而产生的调整除外）。</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预算调整率=0，计5分；0-10%（含），计4分；10-20%（含），计3分；20-30%（含），计2分；大于30%不得分。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基本支出预算控制率</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基本支出预算控制率=（基本支出实际支出/基本支出年度总预算）*100%。</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基本支出预算控制率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项目支出预算控制率</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项目支出预算控制率=（项目支出实际支出/项目支出年度总预算）*100%。</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项目支出预算控制率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资金结余</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　</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无结余，5分；有结余，但不超过上年结余，3分；结余超过上年结余，不得分。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Merge w:val="continue"/>
            <w:vAlign w:val="center"/>
          </w:tcPr>
          <w:p>
            <w:pPr>
              <w:widowControl/>
              <w:spacing w:line="320" w:lineRule="exact"/>
              <w:jc w:val="center"/>
              <w:rPr>
                <w:rFonts w:ascii="仿宋_GB2312" w:hAnsi="宋体" w:eastAsia="仿宋_GB2312" w:cs="宋体"/>
                <w:kern w:val="0"/>
                <w:szCs w:val="21"/>
              </w:rPr>
            </w:pPr>
          </w:p>
        </w:tc>
        <w:tc>
          <w:tcPr>
            <w:tcW w:w="3265" w:type="dxa"/>
            <w:vAlign w:val="center"/>
          </w:tcPr>
          <w:p>
            <w:pPr>
              <w:widowControl/>
              <w:spacing w:line="320" w:lineRule="exact"/>
              <w:jc w:val="left"/>
              <w:rPr>
                <w:rFonts w:ascii="仿宋_GB2312" w:hAnsi="宋体" w:eastAsia="仿宋_GB2312" w:cs="宋体"/>
                <w:kern w:val="0"/>
                <w:szCs w:val="21"/>
              </w:rPr>
            </w:pP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是否分项目核算结余结转，是，5分；否，0分。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“三公经费”控制率</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“三公经费”控制率=（“三公经费”实际支出数/“三公经费”预算安排数）×100%。</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以100%为标准。三公经费控制率</w:t>
            </w:r>
            <w:r>
              <w:rPr>
                <w:rFonts w:hint="eastAsia" w:ascii="仿宋_GB2312" w:hAnsi="宋体" w:cs="宋体"/>
                <w:kern w:val="0"/>
                <w:szCs w:val="21"/>
              </w:rPr>
              <w:t>≦</w:t>
            </w:r>
            <w:r>
              <w:rPr>
                <w:rFonts w:hint="eastAsia" w:ascii="仿宋_GB2312" w:hAnsi="宋体" w:eastAsia="仿宋_GB2312" w:cs="宋体"/>
                <w:kern w:val="0"/>
                <w:szCs w:val="21"/>
              </w:rPr>
              <w:t>100%，计5分；每超过一个百分点扣1分，扣完为止。</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textDirection w:val="tbRlV"/>
            <w:vAlign w:val="center"/>
          </w:tcPr>
          <w:p>
            <w:pPr>
              <w:widowControl/>
              <w:spacing w:line="320" w:lineRule="exact"/>
              <w:jc w:val="center"/>
              <w:rPr>
                <w:rFonts w:ascii="仿宋_GB2312" w:hAnsi="宋体" w:eastAsia="仿宋_GB2312" w:cs="宋体"/>
                <w:kern w:val="0"/>
                <w:szCs w:val="21"/>
              </w:rPr>
            </w:pPr>
          </w:p>
        </w:tc>
        <w:tc>
          <w:tcPr>
            <w:tcW w:w="709" w:type="dxa"/>
            <w:vMerge w:val="restart"/>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预算管理</w:t>
            </w:r>
          </w:p>
        </w:tc>
        <w:tc>
          <w:tcPr>
            <w:tcW w:w="614"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20</w:t>
            </w: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　</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①已制定或具有预算资金管理办法，内部财务管理制度、会计核算制度等管理制度，3分；②相关管理制度合法、合规、完整，2分。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专账核算</w:t>
            </w:r>
          </w:p>
        </w:tc>
        <w:tc>
          <w:tcPr>
            <w:tcW w:w="3265" w:type="dxa"/>
            <w:vAlign w:val="center"/>
          </w:tcPr>
          <w:p>
            <w:pPr>
              <w:widowControl/>
              <w:spacing w:line="320" w:lineRule="exact"/>
              <w:jc w:val="left"/>
              <w:rPr>
                <w:rFonts w:ascii="仿宋_GB2312" w:hAnsi="宋体" w:eastAsia="仿宋_GB2312" w:cs="宋体"/>
                <w:kern w:val="0"/>
                <w:szCs w:val="21"/>
              </w:rPr>
            </w:pP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项目支出是否分项目单独核算，是5；否，0分。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预决算信息公开性和完善性</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 xml:space="preserve">预决算信息是指与部门预算、执行、决算、监督、绩效等管理相关的信息。                                            </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 xml:space="preserve">①按规定内容公开预决算信息，3分；②按规定时限公开预决算信息，2分。                                            </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Merge w:val="continue"/>
            <w:vAlign w:val="center"/>
          </w:tcPr>
          <w:p>
            <w:pPr>
              <w:widowControl/>
              <w:spacing w:line="320" w:lineRule="exact"/>
              <w:jc w:val="left"/>
              <w:rPr>
                <w:rFonts w:ascii="仿宋_GB2312" w:hAnsi="宋体" w:eastAsia="仿宋_GB2312" w:cs="宋体"/>
                <w:kern w:val="0"/>
                <w:szCs w:val="21"/>
              </w:rPr>
            </w:pPr>
          </w:p>
        </w:tc>
        <w:tc>
          <w:tcPr>
            <w:tcW w:w="614" w:type="dxa"/>
            <w:vMerge w:val="continue"/>
            <w:vAlign w:val="center"/>
          </w:tcPr>
          <w:p>
            <w:pPr>
              <w:widowControl/>
              <w:spacing w:line="320" w:lineRule="exact"/>
              <w:jc w:val="left"/>
              <w:rPr>
                <w:rFonts w:ascii="仿宋_GB2312" w:hAnsi="宋体" w:eastAsia="仿宋_GB2312" w:cs="宋体"/>
                <w:kern w:val="0"/>
                <w:szCs w:val="21"/>
              </w:rPr>
            </w:pP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政府采购完成情况</w:t>
            </w:r>
          </w:p>
        </w:tc>
        <w:tc>
          <w:tcPr>
            <w:tcW w:w="3265" w:type="dxa"/>
            <w:vAlign w:val="center"/>
          </w:tcPr>
          <w:p>
            <w:pPr>
              <w:widowControl/>
              <w:spacing w:line="320" w:lineRule="exact"/>
              <w:jc w:val="left"/>
              <w:rPr>
                <w:rFonts w:ascii="仿宋_GB2312" w:hAnsi="宋体" w:eastAsia="仿宋_GB2312" w:cs="宋体"/>
                <w:kern w:val="0"/>
                <w:szCs w:val="21"/>
              </w:rPr>
            </w:pP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达到政府采购要求的是否进行了政府采购，是，5分；否，0分。</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vAlign w:val="center"/>
          </w:tcPr>
          <w:p>
            <w:pPr>
              <w:widowControl/>
              <w:spacing w:line="320" w:lineRule="exact"/>
              <w:jc w:val="left"/>
              <w:rPr>
                <w:rFonts w:ascii="仿宋_GB2312" w:hAnsi="宋体" w:eastAsia="仿宋_GB2312" w:cs="宋体"/>
                <w:kern w:val="0"/>
                <w:szCs w:val="21"/>
              </w:rPr>
            </w:pPr>
          </w:p>
        </w:tc>
        <w:tc>
          <w:tcPr>
            <w:tcW w:w="70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资产管理</w:t>
            </w:r>
          </w:p>
        </w:tc>
        <w:tc>
          <w:tcPr>
            <w:tcW w:w="614"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88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265"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部门（单位）为加强资产管理，规范资产管理行为而制定的管理制度是否健全完整、用以反映                                                                                                                                                                                                                                                                                                                                                                                                                                                                                                                                                                               和考核部门（单位）资产管理制度对完成主要职责或促进社会发展的保障情况。</w:t>
            </w:r>
          </w:p>
        </w:tc>
        <w:tc>
          <w:tcPr>
            <w:tcW w:w="2278" w:type="dxa"/>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 xml:space="preserve">①已制定或具有资产管理制度，3分；②相关资产管理制度合法、合规、完整，2分；。                                           </w:t>
            </w:r>
          </w:p>
        </w:tc>
        <w:tc>
          <w:tcPr>
            <w:tcW w:w="586"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5</w:t>
            </w:r>
          </w:p>
        </w:tc>
        <w:tc>
          <w:tcPr>
            <w:tcW w:w="476" w:type="dxa"/>
          </w:tcPr>
          <w:p>
            <w:pPr>
              <w:widowControl/>
              <w:spacing w:line="320" w:lineRule="exact"/>
              <w:rPr>
                <w:rFonts w:ascii="仿宋_GB2312" w:hAnsi="宋体" w:eastAsia="仿宋_GB2312" w:cs="宋体"/>
                <w:kern w:val="0"/>
                <w:szCs w:val="21"/>
              </w:rPr>
            </w:pPr>
          </w:p>
          <w:p>
            <w:pPr>
              <w:widowControl/>
              <w:spacing w:line="320" w:lineRule="exact"/>
              <w:rPr>
                <w:rFonts w:ascii="仿宋_GB2312" w:hAnsi="宋体" w:eastAsia="仿宋_GB2312" w:cs="宋体"/>
                <w:kern w:val="0"/>
                <w:szCs w:val="21"/>
              </w:rPr>
            </w:pPr>
          </w:p>
          <w:p>
            <w:pPr>
              <w:widowControl/>
              <w:spacing w:line="320" w:lineRule="exact"/>
              <w:rPr>
                <w:rFonts w:ascii="仿宋_GB2312" w:hAnsi="宋体" w:eastAsia="仿宋_GB2312" w:cs="宋体"/>
                <w:kern w:val="0"/>
                <w:szCs w:val="21"/>
              </w:rPr>
            </w:pPr>
          </w:p>
          <w:p>
            <w:pPr>
              <w:widowControl/>
              <w:spacing w:line="320" w:lineRule="exact"/>
              <w:rPr>
                <w:rFonts w:ascii="仿宋_GB2312" w:hAnsi="宋体" w:eastAsia="仿宋_GB2312" w:cs="宋体"/>
                <w:kern w:val="0"/>
                <w:szCs w:val="21"/>
              </w:rPr>
            </w:pPr>
            <w:r>
              <w:rPr>
                <w:rFonts w:hint="eastAsia" w:ascii="仿宋_GB2312" w:hAnsi="宋体" w:eastAsia="仿宋_GB2312"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675" w:type="dxa"/>
            <w:vMerge w:val="restart"/>
            <w:textDirection w:val="tbRlV"/>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产   出</w:t>
            </w:r>
          </w:p>
          <w:p>
            <w:pPr>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效   果</w:t>
            </w:r>
          </w:p>
        </w:tc>
        <w:tc>
          <w:tcPr>
            <w:tcW w:w="70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职责 履行</w:t>
            </w:r>
          </w:p>
        </w:tc>
        <w:tc>
          <w:tcPr>
            <w:tcW w:w="614"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45</w:t>
            </w:r>
          </w:p>
        </w:tc>
        <w:tc>
          <w:tcPr>
            <w:tcW w:w="889"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绩效目标完成情况</w:t>
            </w:r>
          </w:p>
        </w:tc>
        <w:tc>
          <w:tcPr>
            <w:tcW w:w="3265" w:type="dxa"/>
            <w:vMerge w:val="restart"/>
            <w:vAlign w:val="center"/>
          </w:tcPr>
          <w:p>
            <w:pPr>
              <w:widowControl/>
              <w:spacing w:line="320" w:lineRule="exact"/>
              <w:jc w:val="left"/>
              <w:rPr>
                <w:rFonts w:ascii="仿宋_GB2312" w:hAnsi="宋体" w:eastAsia="仿宋_GB2312" w:cs="宋体"/>
                <w:kern w:val="0"/>
                <w:szCs w:val="21"/>
              </w:rPr>
            </w:pPr>
            <w:r>
              <w:rPr>
                <w:rFonts w:hint="eastAsia" w:ascii="仿宋_GB2312" w:hAnsi="宋体" w:eastAsia="仿宋_GB2312" w:cs="宋体"/>
                <w:kern w:val="0"/>
                <w:szCs w:val="21"/>
              </w:rPr>
              <w:t>部门（单位）根据2018年部门整体支出绩效目标申报表提炼部门整体支出绩效评价指标。</w:t>
            </w:r>
          </w:p>
          <w:p>
            <w:pPr>
              <w:widowControl/>
              <w:spacing w:line="320" w:lineRule="exact"/>
              <w:jc w:val="left"/>
              <w:rPr>
                <w:rFonts w:ascii="仿宋_GB2312" w:hAnsi="宋体" w:eastAsia="仿宋_GB2312" w:cs="宋体"/>
                <w:kern w:val="0"/>
                <w:szCs w:val="21"/>
              </w:rPr>
            </w:pPr>
          </w:p>
        </w:tc>
        <w:tc>
          <w:tcPr>
            <w:tcW w:w="2278" w:type="dxa"/>
            <w:vMerge w:val="restart"/>
            <w:vAlign w:val="center"/>
          </w:tcPr>
          <w:p>
            <w:pPr>
              <w:widowControl/>
              <w:spacing w:line="320" w:lineRule="exact"/>
              <w:jc w:val="left"/>
              <w:rPr>
                <w:rFonts w:ascii="仿宋_GB2312" w:hAnsi="宋体" w:eastAsia="仿宋_GB2312" w:cs="宋体"/>
                <w:kern w:val="0"/>
                <w:szCs w:val="21"/>
              </w:rPr>
            </w:pPr>
          </w:p>
        </w:tc>
        <w:tc>
          <w:tcPr>
            <w:tcW w:w="586" w:type="dxa"/>
            <w:vMerge w:val="restart"/>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45</w:t>
            </w:r>
          </w:p>
        </w:tc>
        <w:tc>
          <w:tcPr>
            <w:tcW w:w="476" w:type="dxa"/>
            <w:vMerge w:val="restart"/>
          </w:tcPr>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p>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675" w:type="dxa"/>
            <w:vMerge w:val="continue"/>
            <w:textDirection w:val="tbRlV"/>
            <w:vAlign w:val="center"/>
          </w:tcPr>
          <w:p>
            <w:pPr>
              <w:widowControl/>
              <w:spacing w:line="320" w:lineRule="exact"/>
              <w:jc w:val="center"/>
              <w:rPr>
                <w:rFonts w:ascii="仿宋_GB2312" w:hAnsi="宋体" w:eastAsia="仿宋_GB2312" w:cs="宋体"/>
                <w:kern w:val="0"/>
                <w:szCs w:val="21"/>
              </w:rPr>
            </w:pPr>
          </w:p>
        </w:tc>
        <w:tc>
          <w:tcPr>
            <w:tcW w:w="709"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履职 效益</w:t>
            </w:r>
          </w:p>
        </w:tc>
        <w:tc>
          <w:tcPr>
            <w:tcW w:w="614" w:type="dxa"/>
            <w:vMerge w:val="continue"/>
            <w:vAlign w:val="center"/>
          </w:tcPr>
          <w:p>
            <w:pPr>
              <w:widowControl/>
              <w:spacing w:line="320" w:lineRule="exact"/>
              <w:jc w:val="center"/>
              <w:rPr>
                <w:rFonts w:ascii="仿宋_GB2312" w:hAnsi="宋体" w:eastAsia="仿宋_GB2312" w:cs="宋体"/>
                <w:kern w:val="0"/>
                <w:szCs w:val="21"/>
              </w:rPr>
            </w:pPr>
          </w:p>
        </w:tc>
        <w:tc>
          <w:tcPr>
            <w:tcW w:w="889" w:type="dxa"/>
            <w:vMerge w:val="continue"/>
            <w:vAlign w:val="center"/>
          </w:tcPr>
          <w:p>
            <w:pPr>
              <w:widowControl/>
              <w:spacing w:line="320" w:lineRule="exact"/>
              <w:jc w:val="center"/>
              <w:rPr>
                <w:rFonts w:ascii="仿宋_GB2312" w:hAnsi="宋体" w:eastAsia="仿宋_GB2312" w:cs="宋体"/>
                <w:kern w:val="0"/>
                <w:szCs w:val="21"/>
              </w:rPr>
            </w:pPr>
          </w:p>
        </w:tc>
        <w:tc>
          <w:tcPr>
            <w:tcW w:w="3265" w:type="dxa"/>
            <w:vMerge w:val="continue"/>
            <w:vAlign w:val="center"/>
          </w:tcPr>
          <w:p>
            <w:pPr>
              <w:widowControl/>
              <w:spacing w:line="240" w:lineRule="exact"/>
              <w:jc w:val="left"/>
              <w:rPr>
                <w:rFonts w:ascii="仿宋_GB2312" w:hAnsi="宋体" w:eastAsia="仿宋_GB2312" w:cs="宋体"/>
                <w:kern w:val="0"/>
                <w:szCs w:val="21"/>
              </w:rPr>
            </w:pPr>
          </w:p>
        </w:tc>
        <w:tc>
          <w:tcPr>
            <w:tcW w:w="2278" w:type="dxa"/>
            <w:vMerge w:val="continue"/>
            <w:vAlign w:val="center"/>
          </w:tcPr>
          <w:p>
            <w:pPr>
              <w:widowControl/>
              <w:spacing w:line="240" w:lineRule="exact"/>
              <w:jc w:val="left"/>
              <w:rPr>
                <w:rFonts w:ascii="仿宋_GB2312" w:hAnsi="宋体" w:eastAsia="仿宋_GB2312" w:cs="宋体"/>
                <w:kern w:val="0"/>
                <w:szCs w:val="21"/>
              </w:rPr>
            </w:pPr>
          </w:p>
        </w:tc>
        <w:tc>
          <w:tcPr>
            <w:tcW w:w="586" w:type="dxa"/>
            <w:vMerge w:val="continue"/>
            <w:vAlign w:val="center"/>
          </w:tcPr>
          <w:p>
            <w:pPr>
              <w:widowControl/>
              <w:spacing w:line="240" w:lineRule="exact"/>
              <w:jc w:val="center"/>
              <w:rPr>
                <w:rFonts w:ascii="仿宋_GB2312" w:hAnsi="宋体" w:eastAsia="仿宋_GB2312" w:cs="宋体"/>
                <w:kern w:val="0"/>
                <w:szCs w:val="21"/>
              </w:rPr>
            </w:pPr>
          </w:p>
        </w:tc>
        <w:tc>
          <w:tcPr>
            <w:tcW w:w="476" w:type="dxa"/>
            <w:vMerge w:val="continue"/>
          </w:tcPr>
          <w:p>
            <w:pPr>
              <w:widowControl/>
              <w:spacing w:line="240" w:lineRule="exact"/>
              <w:jc w:val="center"/>
              <w:rPr>
                <w:rFonts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675" w:type="dxa"/>
            <w:textDirection w:val="tbRlV"/>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合计</w:t>
            </w:r>
          </w:p>
        </w:tc>
        <w:tc>
          <w:tcPr>
            <w:tcW w:w="709" w:type="dxa"/>
            <w:vAlign w:val="center"/>
          </w:tcPr>
          <w:p>
            <w:pPr>
              <w:widowControl/>
              <w:spacing w:line="320" w:lineRule="exact"/>
              <w:jc w:val="center"/>
              <w:rPr>
                <w:rFonts w:ascii="仿宋_GB2312" w:hAnsi="宋体" w:eastAsia="仿宋_GB2312" w:cs="宋体"/>
                <w:kern w:val="0"/>
                <w:szCs w:val="21"/>
              </w:rPr>
            </w:pPr>
          </w:p>
        </w:tc>
        <w:tc>
          <w:tcPr>
            <w:tcW w:w="614" w:type="dxa"/>
            <w:vAlign w:val="center"/>
          </w:tcPr>
          <w:p>
            <w:pPr>
              <w:widowControl/>
              <w:spacing w:line="320" w:lineRule="exact"/>
              <w:jc w:val="center"/>
              <w:rPr>
                <w:rFonts w:ascii="仿宋_GB2312" w:hAnsi="宋体" w:eastAsia="仿宋_GB2312" w:cs="宋体"/>
                <w:kern w:val="0"/>
                <w:szCs w:val="21"/>
              </w:rPr>
            </w:pPr>
            <w:r>
              <w:rPr>
                <w:rFonts w:hint="eastAsia" w:ascii="仿宋_GB2312" w:hAnsi="宋体" w:eastAsia="仿宋_GB2312" w:cs="宋体"/>
                <w:kern w:val="0"/>
                <w:szCs w:val="21"/>
              </w:rPr>
              <w:t>100</w:t>
            </w:r>
          </w:p>
        </w:tc>
        <w:tc>
          <w:tcPr>
            <w:tcW w:w="889" w:type="dxa"/>
            <w:vAlign w:val="center"/>
          </w:tcPr>
          <w:p>
            <w:pPr>
              <w:widowControl/>
              <w:spacing w:line="320" w:lineRule="exact"/>
              <w:jc w:val="center"/>
              <w:rPr>
                <w:rFonts w:ascii="仿宋_GB2312" w:hAnsi="宋体" w:eastAsia="仿宋_GB2312" w:cs="宋体"/>
                <w:kern w:val="0"/>
                <w:szCs w:val="21"/>
              </w:rPr>
            </w:pPr>
          </w:p>
        </w:tc>
        <w:tc>
          <w:tcPr>
            <w:tcW w:w="3265" w:type="dxa"/>
            <w:vAlign w:val="center"/>
          </w:tcPr>
          <w:p>
            <w:pPr>
              <w:widowControl/>
              <w:spacing w:line="240" w:lineRule="exact"/>
              <w:jc w:val="left"/>
              <w:rPr>
                <w:rFonts w:ascii="仿宋_GB2312" w:hAnsi="宋体" w:eastAsia="仿宋_GB2312" w:cs="宋体"/>
                <w:kern w:val="0"/>
                <w:szCs w:val="21"/>
              </w:rPr>
            </w:pPr>
          </w:p>
        </w:tc>
        <w:tc>
          <w:tcPr>
            <w:tcW w:w="2278" w:type="dxa"/>
            <w:vAlign w:val="center"/>
          </w:tcPr>
          <w:p>
            <w:pPr>
              <w:widowControl/>
              <w:spacing w:line="240" w:lineRule="exact"/>
              <w:jc w:val="left"/>
              <w:rPr>
                <w:rFonts w:ascii="仿宋_GB2312" w:hAnsi="宋体" w:eastAsia="仿宋_GB2312" w:cs="宋体"/>
                <w:kern w:val="0"/>
                <w:szCs w:val="21"/>
              </w:rPr>
            </w:pPr>
          </w:p>
        </w:tc>
        <w:tc>
          <w:tcPr>
            <w:tcW w:w="586" w:type="dxa"/>
            <w:vAlign w:val="center"/>
          </w:tcPr>
          <w:p>
            <w:pPr>
              <w:widowControl/>
              <w:spacing w:line="240" w:lineRule="exact"/>
              <w:jc w:val="center"/>
              <w:rPr>
                <w:rFonts w:ascii="仿宋_GB2312" w:hAnsi="宋体" w:eastAsia="仿宋_GB2312" w:cs="宋体"/>
                <w:kern w:val="0"/>
                <w:szCs w:val="21"/>
              </w:rPr>
            </w:pPr>
            <w:r>
              <w:rPr>
                <w:rFonts w:hint="eastAsia" w:ascii="仿宋_GB2312" w:hAnsi="宋体" w:eastAsia="仿宋_GB2312" w:cs="宋体"/>
                <w:kern w:val="0"/>
                <w:szCs w:val="21"/>
              </w:rPr>
              <w:t>100</w:t>
            </w:r>
          </w:p>
        </w:tc>
        <w:tc>
          <w:tcPr>
            <w:tcW w:w="476" w:type="dxa"/>
          </w:tcPr>
          <w:p>
            <w:pPr>
              <w:widowControl/>
              <w:spacing w:line="240" w:lineRule="exact"/>
              <w:jc w:val="center"/>
              <w:rPr>
                <w:rFonts w:ascii="仿宋_GB2312" w:hAnsi="宋体" w:eastAsia="仿宋_GB2312" w:cs="宋体"/>
                <w:kern w:val="0"/>
                <w:szCs w:val="21"/>
              </w:rPr>
            </w:pPr>
          </w:p>
          <w:p>
            <w:pPr>
              <w:widowControl/>
              <w:spacing w:line="240" w:lineRule="exact"/>
              <w:jc w:val="center"/>
              <w:rPr>
                <w:rFonts w:ascii="仿宋_GB2312" w:hAnsi="宋体" w:eastAsia="仿宋_GB2312" w:cs="宋体"/>
                <w:kern w:val="0"/>
                <w:szCs w:val="21"/>
              </w:rPr>
            </w:pPr>
          </w:p>
          <w:p>
            <w:pPr>
              <w:widowControl/>
              <w:spacing w:line="240" w:lineRule="exact"/>
              <w:jc w:val="center"/>
              <w:rPr>
                <w:rFonts w:ascii="仿宋_GB2312" w:hAnsi="宋体" w:eastAsia="仿宋_GB2312" w:cs="宋体"/>
                <w:kern w:val="0"/>
                <w:szCs w:val="21"/>
              </w:rPr>
            </w:pPr>
            <w:r>
              <w:rPr>
                <w:rFonts w:hint="eastAsia" w:ascii="仿宋_GB2312" w:hAnsi="宋体" w:eastAsia="仿宋_GB2312" w:cs="宋体"/>
                <w:kern w:val="0"/>
                <w:szCs w:val="21"/>
              </w:rPr>
              <w:t>98</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7AD"/>
    <w:rsid w:val="000615A0"/>
    <w:rsid w:val="000A1AF6"/>
    <w:rsid w:val="001844F3"/>
    <w:rsid w:val="001C68DC"/>
    <w:rsid w:val="00222426"/>
    <w:rsid w:val="002302DD"/>
    <w:rsid w:val="002E2D9C"/>
    <w:rsid w:val="0042095A"/>
    <w:rsid w:val="00442C4C"/>
    <w:rsid w:val="00493140"/>
    <w:rsid w:val="004A4488"/>
    <w:rsid w:val="005047AD"/>
    <w:rsid w:val="005C2D51"/>
    <w:rsid w:val="005D03BD"/>
    <w:rsid w:val="00661DBC"/>
    <w:rsid w:val="006A77A1"/>
    <w:rsid w:val="00730BEF"/>
    <w:rsid w:val="0073557D"/>
    <w:rsid w:val="00737193"/>
    <w:rsid w:val="00797154"/>
    <w:rsid w:val="00836652"/>
    <w:rsid w:val="00844501"/>
    <w:rsid w:val="008D28D1"/>
    <w:rsid w:val="009127CE"/>
    <w:rsid w:val="00927D94"/>
    <w:rsid w:val="009706FD"/>
    <w:rsid w:val="00A146D3"/>
    <w:rsid w:val="00A361E9"/>
    <w:rsid w:val="00B46DFE"/>
    <w:rsid w:val="00B71511"/>
    <w:rsid w:val="00BA6BBD"/>
    <w:rsid w:val="00BD3A88"/>
    <w:rsid w:val="00BF2A0E"/>
    <w:rsid w:val="00C70772"/>
    <w:rsid w:val="00C85A70"/>
    <w:rsid w:val="00C932EE"/>
    <w:rsid w:val="00CA776E"/>
    <w:rsid w:val="00CB24B5"/>
    <w:rsid w:val="00CE44CD"/>
    <w:rsid w:val="00CF0A25"/>
    <w:rsid w:val="00D1376A"/>
    <w:rsid w:val="00DB4100"/>
    <w:rsid w:val="00DD50CB"/>
    <w:rsid w:val="00E80288"/>
    <w:rsid w:val="00EB79DA"/>
    <w:rsid w:val="00EF3670"/>
    <w:rsid w:val="00EF742A"/>
    <w:rsid w:val="00F35E69"/>
    <w:rsid w:val="3BFB5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531</Words>
  <Characters>3031</Characters>
  <Lines>25</Lines>
  <Paragraphs>7</Paragraphs>
  <TotalTime>28</TotalTime>
  <ScaleCrop>false</ScaleCrop>
  <LinksUpToDate>false</LinksUpToDate>
  <CharactersWithSpaces>3555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2020-08-13T02:01:00Z</dcterms:created>
  <dc:creator>PC</dc:creator>
  <cp:lastModifiedBy>离忧</cp:lastModifiedBy>
  <cp:lastPrinted>2020-08-13T02:27:00Z</cp:lastPrinted>
  <dcterms:modified xsi:type="dcterms:W3CDTF">2020-08-18T07:33:54Z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