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rPr>
          <w:rFonts w:ascii="方正小标宋简体" w:eastAsia="黑体" w:cs="仿宋_GB2312"/>
          <w:strike w:val="0"/>
          <w:snapToGrid w:val="0"/>
          <w:color w:val="000000"/>
          <w:kern w:val="0"/>
          <w:sz w:val="44"/>
          <w:szCs w:val="44"/>
        </w:rPr>
      </w:pPr>
      <w:r>
        <w:rPr>
          <w:rFonts w:hint="eastAsia" w:ascii="黑体" w:hAnsi="黑体" w:eastAsia="黑体"/>
          <w:strike w:val="0"/>
          <w:color w:val="000000"/>
        </w:rPr>
        <w:t>附件：</w:t>
      </w:r>
    </w:p>
    <w:p>
      <w:pPr>
        <w:widowControl/>
        <w:shd w:val="clear" w:color="auto" w:fill="FFFFFF"/>
        <w:spacing w:line="600" w:lineRule="exact"/>
        <w:jc w:val="center"/>
        <w:rPr>
          <w:rFonts w:ascii="宋体" w:hAnsi="宋体" w:cs="仿宋_GB2312"/>
          <w:b/>
          <w:strike w:val="0"/>
          <w:snapToGrid w:val="0"/>
          <w:color w:val="000000"/>
          <w:kern w:val="0"/>
          <w:sz w:val="44"/>
          <w:szCs w:val="44"/>
        </w:rPr>
      </w:pPr>
      <w:r>
        <w:rPr>
          <w:rFonts w:hint="eastAsia" w:ascii="宋体" w:hAnsi="宋体" w:cs="仿宋_GB2312"/>
          <w:b/>
          <w:strike w:val="0"/>
          <w:snapToGrid w:val="0"/>
          <w:color w:val="000000"/>
          <w:kern w:val="0"/>
          <w:sz w:val="44"/>
          <w:szCs w:val="44"/>
        </w:rPr>
        <w:t>第一批推开“证照分离”改革的具体事项清单</w:t>
      </w:r>
    </w:p>
    <w:p>
      <w:pPr>
        <w:widowControl/>
        <w:shd w:val="clear" w:color="auto" w:fill="FFFFFF"/>
        <w:spacing w:line="600" w:lineRule="exact"/>
        <w:jc w:val="center"/>
        <w:rPr>
          <w:rFonts w:eastAsia="楷体_GB2312"/>
          <w:strike w:val="0"/>
          <w:color w:val="000000"/>
          <w:kern w:val="0"/>
        </w:rPr>
      </w:pPr>
      <w:r>
        <w:rPr>
          <w:rFonts w:hint="eastAsia" w:eastAsia="楷体_GB2312"/>
          <w:strike w:val="0"/>
          <w:color w:val="000000"/>
          <w:kern w:val="0"/>
        </w:rPr>
        <w:t>（共</w:t>
      </w:r>
      <w:r>
        <w:rPr>
          <w:rFonts w:eastAsia="楷体_GB2312"/>
          <w:strike w:val="0"/>
          <w:color w:val="000000"/>
          <w:kern w:val="0"/>
        </w:rPr>
        <w:t>106</w:t>
      </w:r>
      <w:r>
        <w:rPr>
          <w:rFonts w:hint="eastAsia" w:eastAsia="楷体_GB2312"/>
          <w:strike w:val="0"/>
          <w:color w:val="000000"/>
          <w:kern w:val="0"/>
        </w:rPr>
        <w:t>项）</w:t>
      </w:r>
    </w:p>
    <w:tbl>
      <w:tblPr>
        <w:tblStyle w:val="9"/>
        <w:tblW w:w="13845"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17"/>
        <w:gridCol w:w="910"/>
        <w:gridCol w:w="1932"/>
        <w:gridCol w:w="1084"/>
        <w:gridCol w:w="707"/>
        <w:gridCol w:w="883"/>
        <w:gridCol w:w="752"/>
        <w:gridCol w:w="814"/>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37" w:hRule="atLeast"/>
          <w:tblHeader/>
        </w:trPr>
        <w:tc>
          <w:tcPr>
            <w:tcW w:w="517" w:type="dxa"/>
            <w:vMerge w:val="restart"/>
            <w:tcMar>
              <w:top w:w="0" w:type="dxa"/>
              <w:left w:w="108" w:type="dxa"/>
              <w:bottom w:w="0" w:type="dxa"/>
              <w:right w:w="108" w:type="dxa"/>
            </w:tcMar>
            <w:vAlign w:val="center"/>
          </w:tcPr>
          <w:p>
            <w:pPr>
              <w:spacing w:line="200" w:lineRule="exact"/>
              <w:rPr>
                <w:rFonts w:ascii="宋体" w:hAnsi="宋体" w:cs="宋体"/>
                <w:strike w:val="0"/>
                <w:sz w:val="18"/>
                <w:szCs w:val="18"/>
              </w:rPr>
            </w:pPr>
            <w:r>
              <w:rPr>
                <w:rFonts w:hint="eastAsia" w:ascii="宋体" w:hAnsi="宋体" w:cs="宋体"/>
                <w:strike w:val="0"/>
                <w:sz w:val="18"/>
                <w:szCs w:val="18"/>
              </w:rPr>
              <w:t>序号</w:t>
            </w:r>
          </w:p>
        </w:tc>
        <w:tc>
          <w:tcPr>
            <w:tcW w:w="910" w:type="dxa"/>
            <w:vMerge w:val="restart"/>
            <w:tcMar>
              <w:top w:w="0" w:type="dxa"/>
              <w:left w:w="108" w:type="dxa"/>
              <w:bottom w:w="0" w:type="dxa"/>
              <w:right w:w="108" w:type="dxa"/>
            </w:tcMar>
            <w:vAlign w:val="center"/>
          </w:tcPr>
          <w:p>
            <w:pPr>
              <w:spacing w:line="200" w:lineRule="exact"/>
              <w:ind w:firstLine="180" w:firstLineChars="100"/>
              <w:jc w:val="center"/>
              <w:rPr>
                <w:rFonts w:ascii="宋体" w:hAnsi="宋体" w:cs="宋体"/>
                <w:strike w:val="0"/>
                <w:sz w:val="18"/>
                <w:szCs w:val="18"/>
              </w:rPr>
            </w:pPr>
            <w:r>
              <w:rPr>
                <w:rFonts w:hint="eastAsia" w:ascii="宋体" w:hAnsi="宋体" w:cs="宋体"/>
                <w:strike w:val="0"/>
                <w:sz w:val="18"/>
                <w:szCs w:val="18"/>
              </w:rPr>
              <w:t>责任</w:t>
            </w:r>
          </w:p>
          <w:p>
            <w:pPr>
              <w:spacing w:line="200" w:lineRule="exact"/>
              <w:ind w:firstLine="180" w:firstLineChars="100"/>
              <w:jc w:val="center"/>
              <w:rPr>
                <w:rFonts w:ascii="宋体" w:hAnsi="宋体" w:cs="宋体"/>
                <w:strike w:val="0"/>
                <w:sz w:val="18"/>
                <w:szCs w:val="18"/>
              </w:rPr>
            </w:pPr>
            <w:r>
              <w:rPr>
                <w:rFonts w:hint="eastAsia" w:ascii="宋体" w:hAnsi="宋体" w:cs="宋体"/>
                <w:strike w:val="0"/>
                <w:sz w:val="18"/>
                <w:szCs w:val="18"/>
              </w:rPr>
              <w:t>部门</w:t>
            </w:r>
          </w:p>
        </w:tc>
        <w:tc>
          <w:tcPr>
            <w:tcW w:w="1932" w:type="dxa"/>
            <w:vMerge w:val="restart"/>
            <w:tcMar>
              <w:top w:w="0" w:type="dxa"/>
              <w:left w:w="108" w:type="dxa"/>
              <w:bottom w:w="0" w:type="dxa"/>
              <w:right w:w="108" w:type="dxa"/>
            </w:tcMar>
            <w:vAlign w:val="center"/>
          </w:tcPr>
          <w:p>
            <w:pPr>
              <w:spacing w:line="200" w:lineRule="exact"/>
              <w:ind w:firstLine="180" w:firstLineChars="100"/>
              <w:jc w:val="center"/>
              <w:rPr>
                <w:rFonts w:ascii="宋体" w:hAnsi="宋体" w:cs="宋体"/>
                <w:strike w:val="0"/>
                <w:sz w:val="18"/>
                <w:szCs w:val="18"/>
              </w:rPr>
            </w:pPr>
            <w:r>
              <w:rPr>
                <w:rFonts w:hint="eastAsia" w:ascii="宋体" w:hAnsi="宋体" w:cs="宋体"/>
                <w:strike w:val="0"/>
                <w:sz w:val="18"/>
                <w:szCs w:val="18"/>
              </w:rPr>
              <w:t>事项名称</w:t>
            </w:r>
          </w:p>
        </w:tc>
        <w:tc>
          <w:tcPr>
            <w:tcW w:w="1084" w:type="dxa"/>
            <w:vMerge w:val="restart"/>
            <w:tcMar>
              <w:top w:w="0" w:type="dxa"/>
              <w:left w:w="108" w:type="dxa"/>
              <w:bottom w:w="0" w:type="dxa"/>
              <w:right w:w="108" w:type="dxa"/>
            </w:tcMar>
            <w:vAlign w:val="center"/>
          </w:tcPr>
          <w:p>
            <w:pPr>
              <w:widowControl/>
              <w:spacing w:line="200" w:lineRule="exact"/>
              <w:jc w:val="center"/>
              <w:rPr>
                <w:rFonts w:ascii="宋体" w:hAnsi="宋体" w:cs="宋体"/>
                <w:strike w:val="0"/>
                <w:sz w:val="18"/>
                <w:szCs w:val="18"/>
              </w:rPr>
            </w:pPr>
            <w:r>
              <w:rPr>
                <w:rFonts w:hint="eastAsia" w:ascii="宋体" w:hAnsi="宋体" w:cs="宋体"/>
                <w:strike w:val="0"/>
                <w:sz w:val="18"/>
                <w:szCs w:val="18"/>
              </w:rPr>
              <w:t>实施</w:t>
            </w:r>
          </w:p>
          <w:p>
            <w:pPr>
              <w:widowControl/>
              <w:spacing w:line="200" w:lineRule="exact"/>
              <w:jc w:val="center"/>
              <w:rPr>
                <w:rFonts w:ascii="宋体" w:hAnsi="宋体" w:cs="宋体"/>
                <w:strike w:val="0"/>
                <w:color w:val="000000"/>
                <w:kern w:val="0"/>
                <w:sz w:val="18"/>
                <w:szCs w:val="18"/>
              </w:rPr>
            </w:pPr>
            <w:r>
              <w:rPr>
                <w:rFonts w:hint="eastAsia" w:ascii="宋体" w:hAnsi="宋体" w:cs="宋体"/>
                <w:strike w:val="0"/>
                <w:sz w:val="18"/>
                <w:szCs w:val="18"/>
              </w:rPr>
              <w:t>机关</w:t>
            </w:r>
          </w:p>
        </w:tc>
        <w:tc>
          <w:tcPr>
            <w:tcW w:w="3156" w:type="dxa"/>
            <w:gridSpan w:val="4"/>
            <w:tcMar>
              <w:top w:w="0" w:type="dxa"/>
              <w:left w:w="108" w:type="dxa"/>
              <w:bottom w:w="0" w:type="dxa"/>
              <w:right w:w="108" w:type="dxa"/>
            </w:tcMar>
            <w:vAlign w:val="center"/>
          </w:tcPr>
          <w:p>
            <w:pPr>
              <w:widowControl/>
              <w:spacing w:line="200" w:lineRule="exact"/>
              <w:jc w:val="center"/>
              <w:rPr>
                <w:rFonts w:ascii="宋体" w:hAnsi="宋体" w:cs="宋体"/>
                <w:bCs/>
                <w:strike w:val="0"/>
                <w:color w:val="000000"/>
                <w:kern w:val="0"/>
                <w:sz w:val="18"/>
                <w:szCs w:val="18"/>
              </w:rPr>
            </w:pPr>
            <w:r>
              <w:rPr>
                <w:rFonts w:hint="eastAsia" w:ascii="宋体" w:hAnsi="宋体" w:cs="宋体"/>
                <w:bCs/>
                <w:strike w:val="0"/>
                <w:color w:val="000000"/>
                <w:kern w:val="0"/>
                <w:sz w:val="18"/>
                <w:szCs w:val="18"/>
              </w:rPr>
              <w:t>改革方式</w:t>
            </w:r>
          </w:p>
        </w:tc>
        <w:tc>
          <w:tcPr>
            <w:tcW w:w="6246" w:type="dxa"/>
            <w:vMerge w:val="restart"/>
            <w:tcMar>
              <w:top w:w="0" w:type="dxa"/>
              <w:left w:w="108" w:type="dxa"/>
              <w:bottom w:w="0" w:type="dxa"/>
              <w:right w:w="108" w:type="dxa"/>
            </w:tcMar>
            <w:vAlign w:val="center"/>
          </w:tcPr>
          <w:p>
            <w:pPr>
              <w:widowControl/>
              <w:spacing w:line="200" w:lineRule="exact"/>
              <w:jc w:val="center"/>
              <w:rPr>
                <w:rFonts w:ascii="宋体" w:hAnsi="宋体" w:cs="宋体"/>
                <w:strike w:val="0"/>
                <w:color w:val="000000"/>
                <w:kern w:val="0"/>
                <w:sz w:val="18"/>
                <w:szCs w:val="18"/>
              </w:rPr>
            </w:pPr>
            <w:r>
              <w:rPr>
                <w:rFonts w:hint="eastAsia" w:ascii="宋体" w:hAnsi="宋体" w:cs="宋体"/>
                <w:bCs/>
                <w:strike w:val="0"/>
                <w:color w:val="000000"/>
                <w:kern w:val="0"/>
                <w:sz w:val="18"/>
                <w:szCs w:val="18"/>
              </w:rPr>
              <w:t>改革举措</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47" w:hRule="atLeast"/>
          <w:tblHeader/>
        </w:trPr>
        <w:tc>
          <w:tcPr>
            <w:tcW w:w="517" w:type="dxa"/>
            <w:vMerge w:val="continue"/>
            <w:tcMar>
              <w:top w:w="0" w:type="dxa"/>
              <w:left w:w="108" w:type="dxa"/>
              <w:bottom w:w="0" w:type="dxa"/>
              <w:right w:w="108" w:type="dxa"/>
            </w:tcMar>
            <w:vAlign w:val="center"/>
          </w:tcPr>
          <w:p>
            <w:pPr>
              <w:widowControl/>
              <w:spacing w:line="200" w:lineRule="exact"/>
              <w:jc w:val="center"/>
              <w:rPr>
                <w:strike w:val="0"/>
              </w:rPr>
            </w:pPr>
          </w:p>
        </w:tc>
        <w:tc>
          <w:tcPr>
            <w:tcW w:w="910" w:type="dxa"/>
            <w:vMerge w:val="continue"/>
            <w:tcMar>
              <w:top w:w="0" w:type="dxa"/>
              <w:left w:w="108" w:type="dxa"/>
              <w:bottom w:w="0" w:type="dxa"/>
              <w:right w:w="108" w:type="dxa"/>
            </w:tcMar>
            <w:vAlign w:val="center"/>
          </w:tcPr>
          <w:p>
            <w:pPr>
              <w:widowControl/>
              <w:spacing w:line="200" w:lineRule="exact"/>
              <w:jc w:val="center"/>
              <w:rPr>
                <w:strike w:val="0"/>
              </w:rPr>
            </w:pPr>
          </w:p>
        </w:tc>
        <w:tc>
          <w:tcPr>
            <w:tcW w:w="1932" w:type="dxa"/>
            <w:vMerge w:val="continue"/>
            <w:tcMar>
              <w:top w:w="0" w:type="dxa"/>
              <w:left w:w="108" w:type="dxa"/>
              <w:bottom w:w="0" w:type="dxa"/>
              <w:right w:w="108" w:type="dxa"/>
            </w:tcMar>
            <w:vAlign w:val="center"/>
          </w:tcPr>
          <w:p>
            <w:pPr>
              <w:widowControl/>
              <w:spacing w:line="200" w:lineRule="exact"/>
              <w:jc w:val="center"/>
              <w:rPr>
                <w:strike w:val="0"/>
              </w:rPr>
            </w:pPr>
          </w:p>
        </w:tc>
        <w:tc>
          <w:tcPr>
            <w:tcW w:w="1084" w:type="dxa"/>
            <w:vMerge w:val="continue"/>
            <w:tcMar>
              <w:top w:w="0" w:type="dxa"/>
              <w:left w:w="108" w:type="dxa"/>
              <w:bottom w:w="0" w:type="dxa"/>
              <w:right w:w="108" w:type="dxa"/>
            </w:tcMar>
            <w:vAlign w:val="center"/>
          </w:tcPr>
          <w:p>
            <w:pPr>
              <w:widowControl/>
              <w:spacing w:line="200" w:lineRule="exact"/>
              <w:jc w:val="center"/>
              <w:rPr>
                <w:strike w:val="0"/>
              </w:rPr>
            </w:pPr>
          </w:p>
        </w:tc>
        <w:tc>
          <w:tcPr>
            <w:tcW w:w="707" w:type="dxa"/>
            <w:tcMar>
              <w:top w:w="0" w:type="dxa"/>
              <w:left w:w="108" w:type="dxa"/>
              <w:bottom w:w="0" w:type="dxa"/>
              <w:right w:w="108" w:type="dxa"/>
            </w:tcMar>
            <w:vAlign w:val="center"/>
          </w:tcPr>
          <w:p>
            <w:pPr>
              <w:widowControl/>
              <w:spacing w:line="200" w:lineRule="exact"/>
              <w:jc w:val="center"/>
              <w:rPr>
                <w:rFonts w:ascii="宋体" w:hAnsi="宋体" w:cs="宋体"/>
                <w:strike w:val="0"/>
                <w:sz w:val="21"/>
                <w:szCs w:val="21"/>
              </w:rPr>
            </w:pPr>
            <w:r>
              <w:rPr>
                <w:rFonts w:hint="eastAsia" w:ascii="宋体" w:hAnsi="宋体" w:cs="宋体"/>
                <w:bCs/>
                <w:strike w:val="0"/>
                <w:color w:val="000000"/>
                <w:kern w:val="0"/>
                <w:sz w:val="21"/>
                <w:szCs w:val="21"/>
              </w:rPr>
              <w:t>直接取消审批</w:t>
            </w:r>
          </w:p>
        </w:tc>
        <w:tc>
          <w:tcPr>
            <w:tcW w:w="883" w:type="dxa"/>
            <w:tcMar>
              <w:top w:w="0" w:type="dxa"/>
              <w:left w:w="108" w:type="dxa"/>
              <w:bottom w:w="0" w:type="dxa"/>
              <w:right w:w="108" w:type="dxa"/>
            </w:tcMar>
            <w:vAlign w:val="center"/>
          </w:tcPr>
          <w:p>
            <w:pPr>
              <w:widowControl/>
              <w:spacing w:line="200" w:lineRule="exact"/>
              <w:jc w:val="center"/>
              <w:rPr>
                <w:rFonts w:ascii="宋体" w:hAnsi="宋体" w:cs="宋体"/>
                <w:strike w:val="0"/>
                <w:sz w:val="21"/>
                <w:szCs w:val="21"/>
              </w:rPr>
            </w:pPr>
            <w:r>
              <w:rPr>
                <w:rFonts w:hint="eastAsia" w:ascii="宋体" w:hAnsi="宋体" w:cs="宋体"/>
                <w:bCs/>
                <w:strike w:val="0"/>
                <w:color w:val="000000"/>
                <w:kern w:val="0"/>
                <w:sz w:val="21"/>
                <w:szCs w:val="21"/>
              </w:rPr>
              <w:t>审批改为备案</w:t>
            </w:r>
          </w:p>
        </w:tc>
        <w:tc>
          <w:tcPr>
            <w:tcW w:w="752" w:type="dxa"/>
            <w:tcMar>
              <w:top w:w="0" w:type="dxa"/>
              <w:left w:w="108" w:type="dxa"/>
              <w:bottom w:w="0" w:type="dxa"/>
              <w:right w:w="108" w:type="dxa"/>
            </w:tcMar>
            <w:vAlign w:val="center"/>
          </w:tcPr>
          <w:p>
            <w:pPr>
              <w:widowControl/>
              <w:spacing w:line="200" w:lineRule="exact"/>
              <w:jc w:val="center"/>
              <w:rPr>
                <w:rFonts w:ascii="宋体" w:hAnsi="宋体" w:cs="宋体"/>
                <w:strike w:val="0"/>
                <w:sz w:val="21"/>
                <w:szCs w:val="21"/>
              </w:rPr>
            </w:pPr>
            <w:r>
              <w:rPr>
                <w:rFonts w:hint="eastAsia" w:ascii="宋体" w:hAnsi="宋体" w:cs="宋体"/>
                <w:bCs/>
                <w:strike w:val="0"/>
                <w:color w:val="000000"/>
                <w:kern w:val="0"/>
                <w:sz w:val="21"/>
                <w:szCs w:val="21"/>
              </w:rPr>
              <w:t>实行告知承诺</w:t>
            </w:r>
          </w:p>
        </w:tc>
        <w:tc>
          <w:tcPr>
            <w:tcW w:w="814" w:type="dxa"/>
            <w:tcMar>
              <w:top w:w="0" w:type="dxa"/>
              <w:left w:w="108" w:type="dxa"/>
              <w:bottom w:w="0" w:type="dxa"/>
              <w:right w:w="108" w:type="dxa"/>
            </w:tcMar>
            <w:vAlign w:val="center"/>
          </w:tcPr>
          <w:p>
            <w:pPr>
              <w:widowControl/>
              <w:spacing w:line="200" w:lineRule="exact"/>
              <w:jc w:val="center"/>
              <w:rPr>
                <w:rFonts w:ascii="宋体" w:hAnsi="宋体" w:cs="宋体"/>
                <w:strike w:val="0"/>
                <w:sz w:val="21"/>
                <w:szCs w:val="21"/>
              </w:rPr>
            </w:pPr>
            <w:r>
              <w:rPr>
                <w:rFonts w:hint="eastAsia" w:ascii="宋体" w:hAnsi="宋体" w:cs="宋体"/>
                <w:bCs/>
                <w:strike w:val="0"/>
                <w:color w:val="000000"/>
                <w:kern w:val="0"/>
                <w:sz w:val="21"/>
                <w:szCs w:val="21"/>
              </w:rPr>
              <w:t>优化准入服务</w:t>
            </w:r>
          </w:p>
        </w:tc>
        <w:tc>
          <w:tcPr>
            <w:tcW w:w="6246" w:type="dxa"/>
            <w:vMerge w:val="continue"/>
            <w:tcMar>
              <w:top w:w="0" w:type="dxa"/>
              <w:left w:w="108" w:type="dxa"/>
              <w:bottom w:w="0" w:type="dxa"/>
              <w:right w:w="108" w:type="dxa"/>
            </w:tcMar>
            <w:vAlign w:val="center"/>
          </w:tcPr>
          <w:p>
            <w:pPr>
              <w:widowControl/>
              <w:spacing w:line="200" w:lineRule="exact"/>
              <w:jc w:val="center"/>
              <w:rPr>
                <w:strike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5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县公安局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因私出入境中介机构资格认定（境外就业除外）</w:t>
            </w:r>
          </w:p>
        </w:tc>
        <w:tc>
          <w:tcPr>
            <w:tcW w:w="1084" w:type="dxa"/>
            <w:tcMar>
              <w:top w:w="0" w:type="dxa"/>
              <w:left w:w="108" w:type="dxa"/>
              <w:bottom w:w="0" w:type="dxa"/>
              <w:right w:w="108" w:type="dxa"/>
            </w:tcMar>
            <w:vAlign w:val="center"/>
          </w:tcPr>
          <w:p>
            <w:pPr>
              <w:widowControl/>
              <w:spacing w:line="240" w:lineRule="exact"/>
              <w:rPr>
                <w:rFonts w:ascii="宋体" w:hAnsi="宋体"/>
                <w:strike w:val="0"/>
                <w:color w:val="000000"/>
                <w:kern w:val="0"/>
                <w:sz w:val="20"/>
                <w:szCs w:val="20"/>
              </w:rPr>
            </w:pPr>
            <w:r>
              <w:rPr>
                <w:rFonts w:hint="eastAsia" w:ascii="宋体" w:hAnsi="宋体"/>
                <w:strike w:val="0"/>
                <w:color w:val="000000"/>
                <w:kern w:val="0"/>
                <w:sz w:val="20"/>
                <w:szCs w:val="20"/>
              </w:rPr>
              <w:t>省公安厅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修改《国务院对确需保留的行政审批项目设定行政许可的决定》等有关规定。</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推进部门间信息共享应用，明确取消审批后的事中事后监管重点。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9"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国际船舶管理业务经营审批（外资）</w:t>
            </w:r>
          </w:p>
        </w:tc>
        <w:tc>
          <w:tcPr>
            <w:tcW w:w="1084" w:type="dxa"/>
            <w:tcMar>
              <w:top w:w="0" w:type="dxa"/>
              <w:left w:w="108" w:type="dxa"/>
              <w:bottom w:w="0" w:type="dxa"/>
              <w:right w:w="108" w:type="dxa"/>
            </w:tcMar>
            <w:vAlign w:val="center"/>
          </w:tcPr>
          <w:p>
            <w:pPr>
              <w:widowControl/>
              <w:spacing w:line="240" w:lineRule="exact"/>
              <w:rPr>
                <w:rFonts w:ascii="宋体" w:hAnsi="宋体"/>
                <w:strike w:val="0"/>
                <w:color w:val="000000"/>
                <w:kern w:val="0"/>
                <w:sz w:val="20"/>
                <w:szCs w:val="20"/>
              </w:rPr>
            </w:pPr>
            <w:r>
              <w:rPr>
                <w:rFonts w:hint="eastAsia" w:ascii="宋体" w:hAnsi="宋体"/>
                <w:strike w:val="0"/>
                <w:color w:val="000000"/>
                <w:kern w:val="0"/>
                <w:sz w:val="20"/>
                <w:szCs w:val="20"/>
              </w:rPr>
              <w:t>交通运输部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修改《中华人民共和国国际海运条例》等有关规定。</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59"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首次进口非特殊用途化妆品行政许可</w:t>
            </w:r>
          </w:p>
        </w:tc>
        <w:tc>
          <w:tcPr>
            <w:tcW w:w="1084" w:type="dxa"/>
            <w:tcMar>
              <w:top w:w="0" w:type="dxa"/>
              <w:left w:w="108" w:type="dxa"/>
              <w:bottom w:w="0" w:type="dxa"/>
              <w:right w:w="108" w:type="dxa"/>
            </w:tcMar>
            <w:vAlign w:val="center"/>
          </w:tcPr>
          <w:p>
            <w:pPr>
              <w:widowControl/>
              <w:spacing w:line="240" w:lineRule="exact"/>
              <w:rPr>
                <w:rFonts w:ascii="宋体" w:hAnsi="宋体"/>
                <w:strike w:val="0"/>
                <w:color w:val="000000"/>
                <w:kern w:val="0"/>
                <w:sz w:val="20"/>
                <w:szCs w:val="20"/>
              </w:rPr>
            </w:pPr>
            <w:r>
              <w:rPr>
                <w:rFonts w:hint="eastAsia" w:ascii="宋体" w:hAnsi="宋体"/>
                <w:strike w:val="0"/>
                <w:color w:val="000000"/>
                <w:kern w:val="0"/>
                <w:sz w:val="20"/>
                <w:szCs w:val="20"/>
              </w:rPr>
              <w:t>国家药监局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修改《化妆品卫生监督条例》等有关规定。</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4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电影放映单位设立审批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县或者设区的市人民政府电影行政部门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制作告知承诺书，并向申请人提供示范文本，一次性告知审批条件和所需材料。对申请人承诺符合审批条件并提交材料的，当场发放《电影放映经营许可证》。</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申请人达到法定条件前，不得从事电影放映活动。</w:t>
            </w:r>
          </w:p>
          <w:p>
            <w:pPr>
              <w:widowControl/>
              <w:spacing w:line="240" w:lineRule="exact"/>
              <w:rPr>
                <w:rFonts w:ascii="宋体"/>
                <w:strike w:val="0"/>
                <w:color w:val="000000"/>
                <w:kern w:val="0"/>
                <w:sz w:val="24"/>
              </w:rPr>
            </w:pP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2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设立外商投资电影院许可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省电影局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制作告知承诺书，并向申请人提供示范文本，一次性告知审批条件和所需材料。对申请人承诺符合审批条件并提交材料的，当场发放《电影放映经营许可证》。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申请人达到法定条件前，不得从事电影放映活动。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设立从事包装装潢印刷品和其他印刷品印刷经营活动的企业审批（不含商标、票据、保密印刷）</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设区的市级人民政府出版行政主管部门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制作告知承诺书，并向申请人提供示范文本，一次性告知审批条件和所需材料。对申请人承诺符合审批条件并提交材料的，当场发放《印刷经营许可证》。</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台以上最近十年生产的胶印、凹印、柔印、丝印等及后序加工设备</w:t>
            </w:r>
            <w:r>
              <w:rPr>
                <w:rFonts w:hint="eastAsia" w:ascii="宋体"/>
                <w:strike w:val="0"/>
                <w:color w:val="000000"/>
                <w:kern w:val="0"/>
                <w:sz w:val="20"/>
                <w:szCs w:val="20"/>
              </w:rPr>
              <w:t>”</w:t>
            </w:r>
            <w:r>
              <w:rPr>
                <w:rFonts w:hint="eastAsia" w:ascii="宋体" w:hAnsi="宋体"/>
                <w:strike w:val="0"/>
                <w:color w:val="000000"/>
                <w:kern w:val="0"/>
                <w:sz w:val="20"/>
                <w:szCs w:val="20"/>
              </w:rPr>
              <w:t>准入条件并完善有关管理规定。</w:t>
            </w:r>
          </w:p>
          <w:p>
            <w:pPr>
              <w:widowControl/>
              <w:spacing w:line="240" w:lineRule="exact"/>
              <w:rPr>
                <w:rFonts w:ascii="宋体"/>
                <w:strike w:val="0"/>
                <w:color w:val="000000"/>
                <w:kern w:val="0"/>
                <w:sz w:val="24"/>
              </w:rPr>
            </w:pPr>
            <w:r>
              <w:rPr>
                <w:rFonts w:ascii="宋体" w:hAnsi="宋体"/>
                <w:strike w:val="0"/>
                <w:color w:val="000000"/>
                <w:kern w:val="0"/>
                <w:sz w:val="20"/>
                <w:szCs w:val="20"/>
              </w:rPr>
              <w:t>3.</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印刷业经营者兼营包装装潢和其他印刷品印刷经营活动审批（不含商标、票据、保密印刷）</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设区的市级人民政府出版行政主管部门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制作告知承诺书，并向申请人提供示范文本，一次性告知审批条件和所需材料。对申请人承诺符合审批条件并提交材料的，当场发放《印刷经营许可证》。</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w:t>
            </w:r>
            <w:r>
              <w:rPr>
                <w:rFonts w:hint="eastAsia" w:ascii="宋体" w:hAnsi="宋体"/>
                <w:strike w:val="0"/>
                <w:color w:val="000000"/>
                <w:spacing w:val="-4"/>
                <w:kern w:val="0"/>
                <w:sz w:val="20"/>
                <w:szCs w:val="20"/>
              </w:rPr>
              <w:t>设备</w:t>
            </w:r>
            <w:r>
              <w:rPr>
                <w:rFonts w:hint="eastAsia" w:ascii="宋体"/>
                <w:strike w:val="0"/>
                <w:color w:val="000000"/>
                <w:spacing w:val="-4"/>
                <w:kern w:val="0"/>
                <w:sz w:val="20"/>
                <w:szCs w:val="20"/>
              </w:rPr>
              <w:t>”</w:t>
            </w:r>
            <w:r>
              <w:rPr>
                <w:rFonts w:hint="eastAsia" w:ascii="宋体" w:hAnsi="宋体"/>
                <w:strike w:val="0"/>
                <w:color w:val="000000"/>
                <w:spacing w:val="-4"/>
                <w:kern w:val="0"/>
                <w:sz w:val="20"/>
                <w:szCs w:val="20"/>
              </w:rPr>
              <w:t>准入条件并完善有关管理规定。</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申请人达到法定条件前，不得从事相关经营活动。</w:t>
            </w:r>
          </w:p>
          <w:p>
            <w:pPr>
              <w:widowControl/>
              <w:spacing w:line="240" w:lineRule="exact"/>
              <w:rPr>
                <w:rFonts w:ascii="宋体"/>
                <w:strike w:val="0"/>
                <w:color w:val="000000"/>
                <w:kern w:val="0"/>
                <w:sz w:val="24"/>
              </w:rPr>
            </w:pPr>
            <w:r>
              <w:rPr>
                <w:rFonts w:ascii="宋体" w:hAnsi="宋体"/>
                <w:strike w:val="0"/>
                <w:color w:val="000000"/>
                <w:kern w:val="0"/>
                <w:sz w:val="20"/>
                <w:szCs w:val="20"/>
              </w:rPr>
              <w:t>4.</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音像制作单位设立审批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省新闻出版局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制作告知承诺书，并向申请人提供示范文本，一次性告知审批条件和所需材料。对申请人承诺符合审批条件并提交材料的，当场发放《音像制品制作许可证》。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87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电子出版物制作单位设立审批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省新闻出版局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制作告知承诺书，并向申请人提供示范文本，一次性告知审批条件和所需材料。对申请人承诺符合审批条件并提交材料的，当场发放《电子出版物出版许可证》。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音像制作单位、电子出版物制作单位变更名称、业务范围，或者兼并、合并、分立审批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省新闻出版局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制作告知承诺书，并向申请人提供示范文本，一次性告知审批条件和所需材料。对申请人承诺符合审批条件并提交材料的，当场发放《音像制品制作许可证》或《电子出版物出版许可证》。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药品广告异地备案</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制作告知承诺书，并向申请人提供示范文本，一次性告知备案条件和所需材料。对申请人承诺符合条件并提交材料的，当场予以备案。</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p>
          <w:p>
            <w:pPr>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p>
            <w:pPr>
              <w:spacing w:line="240" w:lineRule="exact"/>
              <w:rPr>
                <w:rFonts w:ascii="宋体"/>
                <w:strike w:val="0"/>
                <w:color w:val="000000"/>
                <w:kern w:val="0"/>
                <w:sz w:val="24"/>
              </w:rPr>
            </w:pPr>
            <w:r>
              <w:rPr>
                <w:rFonts w:ascii="宋体" w:hAnsi="宋体"/>
                <w:strike w:val="0"/>
                <w:color w:val="000000"/>
                <w:kern w:val="0"/>
                <w:sz w:val="20"/>
                <w:szCs w:val="20"/>
              </w:rPr>
              <w:t>4.</w:t>
            </w:r>
            <w:r>
              <w:rPr>
                <w:rFonts w:hint="eastAsia" w:ascii="宋体" w:hAnsi="宋体"/>
                <w:strike w:val="0"/>
                <w:color w:val="000000"/>
                <w:kern w:val="0"/>
                <w:sz w:val="20"/>
                <w:szCs w:val="20"/>
              </w:rPr>
              <w:t>建立跨区域药品广告审查信息共享机制，推进批准的药品广告等信息资源整合共享，全面公布并接受社会监督。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医疗机构放射性药品使用许可（一、二类）</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50"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县城市管理和综合执法局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从事城市生活垃圾经营性清扫、收集、运输、处理服务审批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县级以上人民政府建设（环境卫生）行政主管部门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县公安局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保安培训许可证核发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省公安厅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1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县公安局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旅馆业特种行业许可证核发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县级以上地方人民政府公安机关</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34"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道路运输站（场）经营许可证核发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县级人民政府道路运输管理部门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县卫生健康局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公共场所卫生许可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县级以上人民政府卫生行政主管部门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842"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县民政局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假肢和矫形器（辅助器具）生产装配企业资格认定</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省民政厅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72"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县住房和城乡建设局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人民防空工程设计乙级以下资质审批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省人防办</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加强事中事后监管，主管部门发放许可证后</w:t>
            </w:r>
            <w:r>
              <w:rPr>
                <w:rFonts w:ascii="宋体" w:hAnsi="宋体"/>
                <w:strike w:val="0"/>
                <w:color w:val="000000"/>
                <w:kern w:val="0"/>
                <w:sz w:val="20"/>
                <w:szCs w:val="20"/>
              </w:rPr>
              <w:t>2</w:t>
            </w:r>
            <w:r>
              <w:rPr>
                <w:rFonts w:hint="eastAsia" w:ascii="宋体" w:hAnsi="宋体"/>
                <w:strike w:val="0"/>
                <w:color w:val="000000"/>
                <w:kern w:val="0"/>
                <w:sz w:val="20"/>
                <w:szCs w:val="20"/>
              </w:rPr>
              <w:t>个月内，实行全覆盖例行检查，发现实际情况与承诺内容不符的，依法撤销审批并予以从重处罚。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8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县住房和城乡建设局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乙级人民防空工程监理资质审批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省人防办</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加强事中事后监管，主管部门发放许可证后</w:t>
            </w:r>
            <w:r>
              <w:rPr>
                <w:rFonts w:ascii="宋体" w:hAnsi="宋体"/>
                <w:strike w:val="0"/>
                <w:color w:val="000000"/>
                <w:kern w:val="0"/>
                <w:sz w:val="20"/>
                <w:szCs w:val="20"/>
              </w:rPr>
              <w:t>2</w:t>
            </w:r>
            <w:r>
              <w:rPr>
                <w:rFonts w:hint="eastAsia" w:ascii="宋体" w:hAnsi="宋体"/>
                <w:strike w:val="0"/>
                <w:color w:val="000000"/>
                <w:kern w:val="0"/>
                <w:sz w:val="20"/>
                <w:szCs w:val="20"/>
              </w:rPr>
              <w:t>个月内，实行全覆盖例行检查，发现实际情况与承诺内容不符的，依法撤销审批并予以从重处罚。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2"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县住房和城乡建设局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丙级人民防空工程监理资质审批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省人防办</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加强事中事后监管，主管部门发放许可证后</w:t>
            </w:r>
            <w:r>
              <w:rPr>
                <w:rFonts w:ascii="宋体" w:hAnsi="宋体"/>
                <w:strike w:val="0"/>
                <w:color w:val="000000"/>
                <w:kern w:val="0"/>
                <w:sz w:val="20"/>
                <w:szCs w:val="20"/>
              </w:rPr>
              <w:t>2</w:t>
            </w:r>
            <w:r>
              <w:rPr>
                <w:rFonts w:hint="eastAsia" w:ascii="宋体" w:hAnsi="宋体"/>
                <w:strike w:val="0"/>
                <w:color w:val="000000"/>
                <w:kern w:val="0"/>
                <w:sz w:val="20"/>
                <w:szCs w:val="20"/>
              </w:rPr>
              <w:t>个月内，实行全覆盖例行检查，发现实际情况与承诺内容不符的，依法撤销审批并予以从重处罚。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52"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食品相关产品生产许可证核发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省市场监管局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制作告知承诺书，并向申请人提供示范文本，一次性告知审批条件和所需材料。对申请人承诺符合审批条件并提交材料的，当场发放许可证。</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申请人达到法定条件前，不得从事相关经营活动。</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加强事中事后监管，实行全覆盖例行检查，发现实际情况与承诺内容不符的，依法撤销审批并予以从重处罚。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66"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外商投资旅行社业务经营许可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精简审批材料，在线获取核验营业执照，减少外商投资企业设立批复等材料。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旅行社业务经营许可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省文化和旅游厅或者省文化和旅游厅委托的设区的市级人民政府旅游行政主管部门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49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国内水路运输业务经营许可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交通运输部或者设区的市级以上地方人民政府水路运输管理部门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待可实现在线获取核验营业执照等材料后，精简审批材料。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港口经营许可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省交通运输厅或者设区的市级人民政府</w:t>
            </w:r>
            <w:r>
              <w:rPr>
                <w:rFonts w:hint="eastAsia" w:ascii="宋体" w:hAnsi="宋体"/>
                <w:strike w:val="0"/>
                <w:color w:val="000000"/>
                <w:kern w:val="0"/>
                <w:sz w:val="20"/>
                <w:szCs w:val="20"/>
              </w:rPr>
              <w:t>港口行政主管部门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待可实现在线获取核验营业执照等材料后，精简审批材料。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机动车驾驶员培训业务许可证核发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县级人民政府道路运输管理部门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压缩审批时限，将法定审批时限压缩四分之一。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道路客运经营许可证核发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县级以上人民政府道路运输管理部门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精简审批材料，在线获取核验营业执照等材料，不再收取企业章程文本等申请材料。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29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道路货运经营许可证核发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县级人民政府道路运输管理部门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压缩审批时限，将法定审批时限压缩四分之一。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精简审批材料，在线获取核验营业执照等材料，不再收取企业章程文本等申请材料。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中外合资经营、中外合作经营演出经纪机构设立审批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文化和旅游部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港、澳投资者在内地投资设立合资、合作、独资经营的演出经纪机构审批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台湾地区投资者在内地投资设立合资、合作经营的演出经纪机构审批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港、澳服务提供者在内地设立互联网上网服务营业场所审批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县商务局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拍卖业务许可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省商务厅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精简审批材料，不再收取固定办公场所产权证明或租赁合同、出租方产权复印件等申请材料。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826"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拍卖企业经营文物拍卖许可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省文物局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精简审批材料，在线获取核验营业执照等材料，不再收取场所设施和技术条件等申请材料。</w:t>
            </w:r>
          </w:p>
          <w:p>
            <w:pPr>
              <w:widowControl/>
              <w:spacing w:line="240" w:lineRule="exact"/>
              <w:rPr>
                <w:rFonts w:ascii="宋体"/>
                <w:strike w:val="0"/>
                <w:color w:val="000000"/>
                <w:kern w:val="0"/>
                <w:sz w:val="24"/>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歌舞娱乐场所设立审批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省文化和旅游厅或者县级人民政府文化行政主管部门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游艺娱乐场所设立审批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省文化和旅游厅或者县级人民政府文化行政主管部门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韶山海关</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口岸卫生许可证核发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主管海关</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精简审批材料，在线获取核验营业执照、经营场所使用证明等材料。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39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韶山海关</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进出口商品检验鉴定业务的检验许可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海关总署</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精简审批材料，在线获取核验营业执照、固定场所产权或使用权证明文件等材料。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66"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县财政局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会计师事务所及分支机构设立审批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省财政厅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精简审批材料，在线获取核验营业执照、会计师事务所书面合伙协议或者公司章程、经营场所产权证明或者使用权证明等材料。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33"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县财政局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中介机构从事会计代理记账业务审批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县级以上人民政府财政部门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w:t>
            </w:r>
            <w:r>
              <w:rPr>
                <w:rFonts w:ascii="宋体" w:hAnsi="宋体"/>
                <w:strike w:val="0"/>
                <w:color w:val="000000"/>
                <w:kern w:val="0"/>
                <w:sz w:val="20"/>
                <w:szCs w:val="20"/>
              </w:rPr>
              <w:t>20</w:t>
            </w:r>
            <w:r>
              <w:rPr>
                <w:rFonts w:hint="eastAsia" w:ascii="宋体" w:hAnsi="宋体"/>
                <w:strike w:val="0"/>
                <w:color w:val="000000"/>
                <w:kern w:val="0"/>
                <w:sz w:val="20"/>
                <w:szCs w:val="20"/>
              </w:rPr>
              <w:t>个工作日压缩至</w:t>
            </w:r>
            <w:r>
              <w:rPr>
                <w:rFonts w:ascii="宋体" w:hAnsi="宋体"/>
                <w:strike w:val="0"/>
                <w:color w:val="000000"/>
                <w:kern w:val="0"/>
                <w:sz w:val="20"/>
                <w:szCs w:val="20"/>
              </w:rPr>
              <w:t>15</w:t>
            </w:r>
            <w:r>
              <w:rPr>
                <w:rFonts w:hint="eastAsia" w:ascii="宋体" w:hAnsi="宋体"/>
                <w:strike w:val="0"/>
                <w:color w:val="000000"/>
                <w:kern w:val="0"/>
                <w:sz w:val="20"/>
                <w:szCs w:val="20"/>
              </w:rPr>
              <w:t>个工作日。</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8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县农业农村局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设立饲料、饲料添加剂生产企业审批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省农业农村厅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精简审批材料，在线获取核验营业执照等材料，不再收取企业组织机构图、主要机构负责人和特有工种人员劳动合同清单、企业管理制度、主要机构负责人毕业证书或职称证书等材料。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1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县卫生健康局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营利性医疗机构设置审批（含港澳台资，不含外商独资）</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县级以上人民政府卫生行政部门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允许营利性医疗机构开展药品、器械等医疗相关的经营活动，医疗活动场所与其他经营活动场所应当分离。</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6.</w:t>
            </w:r>
            <w:r>
              <w:rPr>
                <w:rFonts w:hint="eastAsia" w:ascii="宋体" w:hAnsi="宋体"/>
                <w:strike w:val="0"/>
                <w:color w:val="000000"/>
                <w:kern w:val="0"/>
                <w:sz w:val="20"/>
                <w:szCs w:val="20"/>
              </w:rPr>
              <w:t>逐步实现社会办营利性医疗机构床位数由投资主体自主决定。</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7.</w:t>
            </w:r>
            <w:r>
              <w:rPr>
                <w:rFonts w:hint="eastAsia" w:ascii="宋体" w:hAnsi="宋体"/>
                <w:strike w:val="0"/>
                <w:color w:val="000000"/>
                <w:kern w:val="0"/>
                <w:sz w:val="20"/>
                <w:szCs w:val="20"/>
              </w:rPr>
              <w:t>加快推进电子化注册管理，优化营利性医疗机构诊疗科目登记，免费向医疗机构提供网上登记服务，鼓励社会力量投资医疗领域。</w:t>
            </w:r>
          </w:p>
          <w:p>
            <w:pPr>
              <w:widowControl/>
              <w:spacing w:line="280" w:lineRule="exact"/>
              <w:rPr>
                <w:rFonts w:ascii="宋体"/>
                <w:strike w:val="0"/>
                <w:color w:val="000000"/>
                <w:kern w:val="0"/>
                <w:sz w:val="24"/>
              </w:rPr>
            </w:pPr>
            <w:r>
              <w:rPr>
                <w:rFonts w:ascii="宋体" w:hAnsi="宋体"/>
                <w:strike w:val="0"/>
                <w:color w:val="000000"/>
                <w:kern w:val="0"/>
                <w:sz w:val="20"/>
                <w:szCs w:val="20"/>
              </w:rPr>
              <w:t>8.</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44"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县卫生健康局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消毒产品生产企业卫生许可（一次性使用医疗用品的生产企业除外）</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省卫生健康委</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精简审批材料，在线获取核验营业执照、生产企业现场审核意见书等材料。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2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县自然资源局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从事测绘活动单位资质许可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自然资源部或者省自然资源厅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压缩审批时限，将法定审批时限压缩四分之一。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县住房和城乡建设局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燃气经营许可证核发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县级以上地方人民政府燃气管理部门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精简审批材料，在线获取核验营业执照等材料，不再收取法定代表人或者申请单位负责人、安全责任人身份证明材料等材料。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推进部门间信息共享应用，由档案部门对项目验收形成的验收文件统一保管，建立项目信息库，统一提供各验收受理部门利用，加强事中事后监管。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3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经营高危险性体育项目许可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县级以上地方人民政府体育主管部门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精简审批材料，在线获取核验营业执照、申请人身份证明等材料。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推进部门间信息共享应用，从严加强事中事后监管。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县发展和改革局（粮食和物资储备局）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粮食收购资格认定</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企业办理工商登记部门同级的人民政府粮食行政主管部门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压缩审批时限，具体审批时限由地方根据实际情况确定。</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精简审批材料，在线获取核验营业执照、法定代表人身份证明等材料。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下放中央审批事权至企业办理工商登记部门的同级人民政府粮食行政主管部门。</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49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县公安局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保安服务许可证核发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省公安厅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精简审批材料，在线获取核验营业执照、本地户籍的法定代表人及主要管理人员无犯罪记录证明、企业名称预先核准通知书等材料。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从事出版物批发业务许可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省新闻出版局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精简审批材料，在线获取核验营业执照、企业章程、经营场所的情况及使用权证明、法定代表人及主要负责人的身份证明等材料。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设立中外合资、合作印刷企业和外商独资包装装潢印刷企业审批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省新闻出版局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外商投资企业批准证书，香港、澳门特别行政区政府工业贸易署颁发的香港、澳门服务提供者证明书，法定代表人身份证明，各方投资者的注册登记证明，企业名称预先核准通知书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台以上最近十年生产的胶印、凹印、柔印、丝印等及后序加工设备</w:t>
            </w:r>
            <w:r>
              <w:rPr>
                <w:rFonts w:hint="eastAsia" w:ascii="宋体"/>
                <w:strike w:val="0"/>
                <w:color w:val="000000"/>
                <w:kern w:val="0"/>
                <w:sz w:val="20"/>
                <w:szCs w:val="20"/>
              </w:rPr>
              <w:t>”</w:t>
            </w:r>
            <w:r>
              <w:rPr>
                <w:rFonts w:hint="eastAsia" w:ascii="宋体" w:hAnsi="宋体"/>
                <w:strike w:val="0"/>
                <w:color w:val="000000"/>
                <w:kern w:val="0"/>
                <w:sz w:val="20"/>
                <w:szCs w:val="20"/>
              </w:rPr>
              <w:t>准入条件并完善有关管理规定。</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948"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县政府金融工作办公室</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融资性担保机构设立、变更审批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省地方金融监管局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精简审批材料，在线获取核验营业执照、企业名称预先核准通知书等材料。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推进部门间信息共享应用，推进政府监管、市场监督、行业自律和社会中介机构评价相结合，加强事中事后监管。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银保监会及派出机构</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hint="eastAsia" w:ascii="宋体" w:hAnsi="宋体"/>
                <w:strike w:val="0"/>
                <w:color w:val="000000"/>
                <w:kern w:val="0"/>
                <w:sz w:val="20"/>
                <w:szCs w:val="20"/>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银保监会</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县商务局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石油成品油批发经营资格审批（初审）</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省商务厅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精简审批材料，在线获取核验营业执照、法定代表人身份证明及任职证明等材料。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6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县商务局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石油成品油零售经营资格审批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省商务厅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精简审批材料，在线获取核验营业执照、法定代表人身份证明及任职证明等材料。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20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电影发行单位设立、变更业务范围或者兼并、合并、分立审批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国家电影局或者省电影局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精简审批材料，在线获取核验营业执照等材料，不再收取企业章程、工作场所使用证明文件（租赁合同或自有产权证书）、法定代表人身份证明等材料。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4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设立经营性互联网文化单位审批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省文化和旅游厅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23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县文化旅游广电体育局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设立广播电视视频点播业务（乙种）许可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县级以上地方人民政府广播电视行政主管部门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精简审批材料，在线获取核验营业执照、企业章程、法定代表人身份证、开办地址产权证或租用场所的证明等材料。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10"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59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化妆品生产许可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09"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食品（含食品添加剂）生产许可（保健食品、特殊医学用途配方食品、婴幼儿配方食品除外）</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县级以上地方人民政府食品药品监督管理部门（市场监管部门）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精简审批材料，在线获取核验营业执照、食品注册批准证明文件或备案证明等材料。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食品生产许可（保健食品、特殊医学用途配方食品、婴幼儿配方食品）</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省市场监管局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精简审批材料，在线获取核验营业执照、食品注册批准证明文件或备案证明等材料。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66"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食品销售许可、餐饮服务许可（已合并为食品经营许可）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县级以上地方人民政府食品药品监督管理部门（市场监管部门）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互联网药品信息服务企业审批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推进部门间信息共享应用，从严加强事中事后监管。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医疗器械广告审查</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推进部门间信息共享应用，从严加强事中事后监管。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开办药品生产企业审批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压缩审批时限，将法定审批时限压缩三分之一（现场检查不计入审批时限）。</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精简审批材料，在线获取核验营业执照、法定代表人或负责人、质量负责人的身份证明等材料。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对药品生产经营许可等审批事项中相关联的现场检查进行合并，提高审批效率。</w:t>
            </w:r>
            <w:r>
              <w:rPr>
                <w:rFonts w:ascii="宋体"/>
                <w:strike w:val="0"/>
                <w:color w:val="000000"/>
                <w:kern w:val="0"/>
                <w:sz w:val="20"/>
                <w:szCs w:val="20"/>
              </w:rPr>
              <w:br w:type="textWrapping"/>
            </w: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280"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开办药品经营企业审批（批发、零售连锁总部）</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精简审批材料，在线获取核验营业执照、法定代表人或负责人的身份证明等材料。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第二类医疗器械产品注册</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将拥有产品核心技术发明专利、具有重大临床价值的医疗器械，用于诊断、治疗儿童或老年人特有及多发疾病的第二类医疗器械，纳入优先审查通道，在受理之前提供技术服务、专家咨询，提前介入指导，全程跟踪服务，减少市场准入过程中的风险和不确定性。</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加快审查速度，同步开展注册质量体系核查，优化注册质量体系核查现场检查和生产许可证审批现场检查。</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精简审批材料，在线获取核验营业执照、法定代表人或负责人身份证明等材料。简化已有同品种医疗器械临床评价资料，扩大在注册质量体系核查过程中可免于现场检查或可优化现场检查项目、流程的医疗器械范围。扩大在生产许可证审批过程中可优化现场检查项目、流程的医疗器械范围。</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6.</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7.</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3"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第二、三类医疗器械生产许可证核发</w:t>
            </w:r>
          </w:p>
        </w:tc>
        <w:tc>
          <w:tcPr>
            <w:tcW w:w="1084" w:type="dxa"/>
            <w:tcMar>
              <w:top w:w="0" w:type="dxa"/>
              <w:left w:w="108" w:type="dxa"/>
              <w:bottom w:w="0" w:type="dxa"/>
              <w:right w:w="108" w:type="dxa"/>
            </w:tcMar>
            <w:vAlign w:val="center"/>
          </w:tcPr>
          <w:p>
            <w:pPr>
              <w:widowControl/>
              <w:spacing w:line="240" w:lineRule="exact"/>
              <w:rPr>
                <w:rFonts w:ascii="宋体" w:cs="宋体"/>
                <w:strike w:val="0"/>
                <w:color w:val="000000"/>
                <w:kern w:val="0"/>
                <w:sz w:val="24"/>
              </w:rPr>
            </w:pPr>
            <w:r>
              <w:rPr>
                <w:rFonts w:hint="eastAsia" w:ascii="宋体" w:hAnsi="宋体" w:cs="宋体"/>
                <w:strike w:val="0"/>
                <w:color w:val="000000"/>
                <w:kern w:val="0"/>
                <w:sz w:val="20"/>
                <w:szCs w:val="20"/>
              </w:rPr>
              <w:t>省药品监管局</w:t>
            </w:r>
          </w:p>
          <w:p>
            <w:pPr>
              <w:widowControl/>
              <w:spacing w:line="240" w:lineRule="exact"/>
              <w:rPr>
                <w:rFonts w:ascii="宋体"/>
                <w:strike w:val="0"/>
                <w:color w:val="000000"/>
                <w:kern w:val="0"/>
                <w:sz w:val="24"/>
              </w:rPr>
            </w:pP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p>
          <w:p>
            <w:pPr>
              <w:widowControl/>
              <w:spacing w:line="30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69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开办药品零售企业审批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县或者设区的市级人民政府药品监督管理机构</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t> </w:t>
            </w:r>
          </w:p>
          <w:p>
            <w:pPr>
              <w:widowControl/>
              <w:spacing w:line="30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t> </w:t>
            </w:r>
          </w:p>
          <w:p>
            <w:pPr>
              <w:widowControl/>
              <w:spacing w:line="30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r>
              <w:rPr>
                <w:rFonts w:ascii="宋体"/>
                <w:strike w:val="0"/>
                <w:color w:val="000000"/>
                <w:kern w:val="0"/>
                <w:sz w:val="20"/>
                <w:szCs w:val="20"/>
              </w:rPr>
              <w:t> </w:t>
            </w:r>
          </w:p>
          <w:p>
            <w:pPr>
              <w:widowControl/>
              <w:spacing w:line="30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t> </w:t>
            </w:r>
          </w:p>
          <w:p>
            <w:pPr>
              <w:widowControl/>
              <w:spacing w:line="300" w:lineRule="exact"/>
              <w:rPr>
                <w:rFonts w:ascii="宋体"/>
                <w:strike w:val="0"/>
                <w:color w:val="000000"/>
                <w:kern w:val="0"/>
                <w:sz w:val="24"/>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第三类医疗器械经营许可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设区的市级人民政府食品药品监督管理部门（市场监管部门）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医疗机构放射性药品使用许可（三、四类）</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新药生产和上市许可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国家药监局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2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特种设备生产单位许可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市场监管总局或者省市场监管局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30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特种设备检验检测机构核准</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市场监管总局或者省市场监管局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县农业农村局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农作物种子、食用菌菌种生产经营许可证核发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农业农村部、省农业农村厅或者县级人民政府农业主管部门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精简审批材料，研究清理和减少证明事项，加快实现许可证办理所需材料在线获取核验。</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县公安局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爆破作业单位许可证核发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省公安厅或者设区的市级人民政府公安机关</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精简审批材料，在线获取核验本行政区域内公安机关出具的涉爆从业人员从业资格证明等材料。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县公安局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制造、销售弩或营业性射击场开设弩射项目审批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省公安厅或者设区的市级人民政府公安机关</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8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县商务局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直销企业及其分支机构的设立和变更审批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商务部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采取便民举措，在线获取核验营业执照等材料。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加强信息公开，公示受理条件、申请材料和办理流程。</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推进部门间信息共享应用，加强部门联动和事中事后监管。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8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79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县应急管理局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烟花爆竹批发许可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设区的市级人民政府安全生产监督管理部门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精简审批材料，在线获取核验营业执照、法定代表人或负责人的身份证明等材料。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县应急管理局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烟花爆竹零售许可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县级人民政府安全生产监督管理部门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县应急管理局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危险化学品经营许可证核发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县或者设区的市级人民政府安全生产监督管理部门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491"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县应急管理局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危险化学品生产企业安全生产许可证核发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应急管理部或者省应急管理厅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县应急管理局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危险化学品安全使用许可证核发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设区的市级人民政府安全生产监督管理部门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县应急管理局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新建、改建、扩建生产、储存危险化学品（包括使用长输管道输送危险化学品）建设项目安全条件审查</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应急管理部或者设区的市级以上人民政府安全生产监督管理部门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道路危险货物运输经营许可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设区的市级人民政府道路运输管理部门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精简审批材料，在线获取核验营业执照、企业章程文本、法定代表人或负责人身份证明等材料。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50"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县城市管理和综合执法局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户外广告设施设置审批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所在地人民政府市容环境卫生行政主管部门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精简审批材料，在线获取核验营业执照、法定代表人身份证明等材料。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县科技和工业信息化局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民用爆炸物品销售许可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省工业和信息化厅</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县科技和工业信息化局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民用爆炸物品生产许可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工业和信息化部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精简审批材料，在线获取核验营业执照等材料。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89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县卫生健康局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医疗机构执业登记</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县级以上人民政府卫生行政主管部门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推广网上业务办理，加快推进电子化注册管理，优化营利性医疗机构诊疗科目登记，免费向医疗机构提供网上登记服务，鼓励社会力量投资医疗领域。</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精简审批材料，在线获取核验营业执照、本行政区域内卫生技术行政主管部门出具的设置医疗机构批准书或设置医疗机构备案回执、医疗机构各科室负责人（学科带头人）有关资格证书、执业证书等材料。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允许营利性医疗机构开展药品、器械等医疗相关的经营活动，医疗活动场所与其他经营活动场所应当分离。</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逐步实现社会办营利性医疗机构床位数由投资主体自主决定。</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6.</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7.</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94"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县卫生健康局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医师执业注册</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县级以上人民政府卫生行政主管部门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精简审批材料，在线获取核验医师资格证书等材料。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对在县级以下医疗机构执业的临床执业医师最多可申请同一类别的三个专业作为执业范围进行注册，在三级医院积极探索专科医师注册制度。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524"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县统计局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涉外调查机构资格认定</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国家统计局或者省统计局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精简审批材料，在线获取核验营业执照等材料，取消涉外调查机构资格认定中国家认可的外语类水平考试人员证书和用以证明申请机构有从事涉外调查管理能力的人员证书准入条件。</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9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国际海上运输业务及海运辅助业务经营审批（国际船舶运输业务）</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交通运输部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待可实现在线获取核验营业执照等材料后，精简审批材料。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放宽国际船舶运输经营业务审批对自有船舶的准入条件，对已取得国际船舶运输经营资格的航运企业，允许将其自有船舶出售给依法取得国家有关部门批准的融资租赁公司后，再以融资租赁方式回租的该船舶认定为自有船舶。</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88"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从事大陆与台湾间海上运输业务许可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交通运输部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待可实现在线获取核验营业执照等材料后，精简审批材料。</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放宽从事大陆与台湾间海上运输业务审批对自有船舶的准入条件，对已取得从事大陆与台湾间海上运输经营资格的航运企业，允许将其自有船舶出售给两岸资本设立且在两岸登记的融资租赁公司后，再以融资租赁方式回租的该船舶认定为自有船舶。</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19"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从事内地与港澳间海上运输业务许可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交通运输部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待可实现在线获取核验营业执照等材料后，精简审批材料。</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放宽从事内地与港澳间海上运输业务审批对自有船舶的准入条件，对已取得从事内地与港澳间海上运输经营资格的航运企业，允许将其自有船舶出售给依法取得国家有关部门批准的融资租赁公司后，再以融资租赁方式回租的该船舶认定为自有船舶。</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p>
          <w:p>
            <w:pPr>
              <w:widowControl/>
              <w:spacing w:line="280" w:lineRule="exact"/>
              <w:rPr>
                <w:rFonts w:ascii="宋体"/>
                <w:strike w:val="0"/>
                <w:color w:val="000000"/>
                <w:kern w:val="0"/>
                <w:sz w:val="24"/>
              </w:rPr>
            </w:pP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国产药品再注册审批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对药品生产经营许可等审批事项中相关联的现场检查进行合并，提高审批效率。</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药品委托生产审批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省药品监管局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精简审批材料，在线获取核验营业执照、法定代表人或负责人的身份证明等材料。</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对药品生产经营许可等审批事项中相关联的现场检查进行合并，提高审批效率。</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97</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重要工业产品生产许可证</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cs="宋体"/>
                <w:strike w:val="0"/>
                <w:color w:val="000000"/>
                <w:kern w:val="0"/>
                <w:sz w:val="20"/>
                <w:szCs w:val="20"/>
              </w:rPr>
              <w:t>市场监管总局或者省市场监管局</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优化生产许可审批流程，凡是不涉及产品质量安全必备条件和产业政策的内容一律取消。只对涉及产品质量安全的指标进行生产许可检验。</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取消发证机关组织的发证前产品检验，调整为企业自行委托有资质的检验机构进行产品检验，并在申请时提交产品检验报告，检验报告可以为签发日期在</w:t>
            </w:r>
            <w:r>
              <w:rPr>
                <w:rFonts w:ascii="宋体" w:hAnsi="宋体"/>
                <w:strike w:val="0"/>
                <w:color w:val="000000"/>
                <w:kern w:val="0"/>
                <w:sz w:val="20"/>
                <w:szCs w:val="20"/>
              </w:rPr>
              <w:t>1</w:t>
            </w:r>
            <w:r>
              <w:rPr>
                <w:rFonts w:hint="eastAsia" w:ascii="宋体" w:hAnsi="宋体"/>
                <w:strike w:val="0"/>
                <w:color w:val="000000"/>
                <w:kern w:val="0"/>
                <w:sz w:val="20"/>
                <w:szCs w:val="20"/>
              </w:rPr>
              <w:t>年以内同产品单元的产品型式试验报告、产品质量检验合格报告或接受政府监督检验的报告。</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6.</w:t>
            </w:r>
            <w:r>
              <w:rPr>
                <w:rFonts w:hint="eastAsia" w:ascii="宋体" w:hAnsi="宋体"/>
                <w:strike w:val="0"/>
                <w:color w:val="000000"/>
                <w:kern w:val="0"/>
                <w:sz w:val="20"/>
                <w:szCs w:val="20"/>
              </w:rPr>
              <w:t>取消生产许可证获证企业年度审查制度，探索实行信用监管。</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7.</w:t>
            </w:r>
            <w:r>
              <w:rPr>
                <w:rFonts w:hint="eastAsia" w:ascii="宋体" w:hAnsi="宋体"/>
                <w:strike w:val="0"/>
                <w:color w:val="000000"/>
                <w:kern w:val="0"/>
                <w:sz w:val="20"/>
                <w:szCs w:val="20"/>
              </w:rPr>
              <w:t>公示审批程序、受理条件和办理标准，公开办理进度。</w:t>
            </w:r>
          </w:p>
          <w:p>
            <w:pPr>
              <w:widowControl/>
              <w:spacing w:line="280" w:lineRule="exact"/>
              <w:rPr>
                <w:rFonts w:ascii="宋体"/>
                <w:strike w:val="0"/>
                <w:color w:val="000000"/>
                <w:kern w:val="0"/>
                <w:sz w:val="24"/>
              </w:rPr>
            </w:pPr>
            <w:r>
              <w:rPr>
                <w:rFonts w:ascii="宋体" w:hAnsi="宋体"/>
                <w:strike w:val="0"/>
                <w:color w:val="000000"/>
                <w:kern w:val="0"/>
                <w:sz w:val="20"/>
                <w:szCs w:val="20"/>
              </w:rPr>
              <w:t>8.</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822"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98</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设立从事包装装潢印刷品和其他印刷品印刷经营活动的企业审批（仅指商标、票据、保密印刷）</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设区的市级人民政府出版行政主管部门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6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6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6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台以上最近十年生产的胶印、凹印、柔印、丝印等及后序加工设备</w:t>
            </w:r>
            <w:r>
              <w:rPr>
                <w:rFonts w:hint="eastAsia" w:ascii="宋体"/>
                <w:strike w:val="0"/>
                <w:color w:val="000000"/>
                <w:kern w:val="0"/>
                <w:sz w:val="20"/>
                <w:szCs w:val="20"/>
              </w:rPr>
              <w:t>”</w:t>
            </w:r>
            <w:r>
              <w:rPr>
                <w:rFonts w:hint="eastAsia" w:ascii="宋体" w:hAnsi="宋体"/>
                <w:strike w:val="0"/>
                <w:color w:val="000000"/>
                <w:kern w:val="0"/>
                <w:sz w:val="20"/>
                <w:szCs w:val="20"/>
              </w:rPr>
              <w:t>准入条件并完善有关管理规定。</w:t>
            </w:r>
          </w:p>
          <w:p>
            <w:pPr>
              <w:widowControl/>
              <w:spacing w:line="260" w:lineRule="exact"/>
              <w:rPr>
                <w:rFonts w:ascii="宋体"/>
                <w:strike w:val="0"/>
                <w:color w:val="000000"/>
                <w:kern w:val="0"/>
                <w:sz w:val="24"/>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99</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印刷业经营者兼并其他印刷业经营者（不含出版物印刷企业）审批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设区的市级人民政府出版行政主管部门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精简审批材料，在线获取核验营业执照等材料，取消印刷经营许可证核发中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台以上最近十年生产的胶印、凹印、柔印、丝印等及后序加工设备</w:t>
            </w:r>
            <w:r>
              <w:rPr>
                <w:rFonts w:hint="eastAsia" w:ascii="宋体"/>
                <w:strike w:val="0"/>
                <w:color w:val="000000"/>
                <w:kern w:val="0"/>
                <w:sz w:val="20"/>
                <w:szCs w:val="20"/>
              </w:rPr>
              <w:t>”</w:t>
            </w:r>
            <w:r>
              <w:rPr>
                <w:rFonts w:hint="eastAsia" w:ascii="宋体" w:hAnsi="宋体"/>
                <w:strike w:val="0"/>
                <w:color w:val="000000"/>
                <w:kern w:val="0"/>
                <w:sz w:val="20"/>
                <w:szCs w:val="20"/>
              </w:rPr>
              <w:t>准入条件并完善有关管理规定。</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100</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印刷业经营者因合并、分立而设立新的印刷业经营者（不含出版物印刷企业）审批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设区的市级人民政府出版行政主管部门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8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8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6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精简审批材料，在线获取核验营业执照、经营场所使用权证明、法定代表人身份证、企业章程等材料，取消印刷经营许可证核发中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台以上最近十年生产的胶印、凹印、柔印、丝印等及后序加工设备</w:t>
            </w:r>
            <w:r>
              <w:rPr>
                <w:rFonts w:hint="eastAsia" w:ascii="宋体"/>
                <w:strike w:val="0"/>
                <w:color w:val="000000"/>
                <w:kern w:val="0"/>
                <w:sz w:val="20"/>
                <w:szCs w:val="20"/>
              </w:rPr>
              <w:t>”</w:t>
            </w:r>
            <w:r>
              <w:rPr>
                <w:rFonts w:hint="eastAsia" w:ascii="宋体" w:hAnsi="宋体"/>
                <w:strike w:val="0"/>
                <w:color w:val="000000"/>
                <w:kern w:val="0"/>
                <w:sz w:val="20"/>
                <w:szCs w:val="20"/>
              </w:rPr>
              <w:t>准入条件并完善有关管理规定。</w:t>
            </w:r>
          </w:p>
          <w:p>
            <w:pPr>
              <w:widowControl/>
              <w:spacing w:line="26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80" w:lineRule="exact"/>
              <w:rPr>
                <w:rFonts w:ascii="宋体"/>
                <w:strike w:val="0"/>
                <w:color w:val="000000"/>
                <w:kern w:val="0"/>
                <w:sz w:val="24"/>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9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101</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县委宣传部</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印刷业经营者兼营包装装潢和其他印刷品印刷经营活动审批（仅指商标、票据、保密印刷）</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设区的市级人民政府出版行政主管部门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6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精简审批材料，在线获取核验营业执照、经营场所使用权证明、法定代表人身份证、企业章程等材料，取消印刷经营许可证核发中</w:t>
            </w:r>
            <w:r>
              <w:rPr>
                <w:rFonts w:hint="eastAsia" w:ascii="宋体"/>
                <w:strike w:val="0"/>
                <w:color w:val="000000"/>
                <w:kern w:val="0"/>
                <w:sz w:val="20"/>
                <w:szCs w:val="20"/>
              </w:rPr>
              <w:t>“</w:t>
            </w:r>
            <w:r>
              <w:rPr>
                <w:rFonts w:hint="eastAsia" w:ascii="宋体" w:hAnsi="宋体"/>
                <w:strike w:val="0"/>
                <w:color w:val="000000"/>
                <w:kern w:val="0"/>
                <w:sz w:val="20"/>
                <w:szCs w:val="20"/>
              </w:rPr>
              <w:t>经营包装装潢印刷品印刷业务的企业必须具备</w:t>
            </w:r>
            <w:r>
              <w:rPr>
                <w:rFonts w:ascii="宋体" w:hAnsi="宋体"/>
                <w:strike w:val="0"/>
                <w:color w:val="000000"/>
                <w:kern w:val="0"/>
                <w:sz w:val="20"/>
                <w:szCs w:val="20"/>
              </w:rPr>
              <w:t>2</w:t>
            </w:r>
            <w:r>
              <w:rPr>
                <w:rFonts w:hint="eastAsia" w:ascii="宋体" w:hAnsi="宋体"/>
                <w:strike w:val="0"/>
                <w:color w:val="000000"/>
                <w:kern w:val="0"/>
                <w:sz w:val="20"/>
                <w:szCs w:val="20"/>
              </w:rPr>
              <w:t>台以上最近十年生产的胶印、凹印、柔印、丝印等及后序加工设备</w:t>
            </w:r>
            <w:r>
              <w:rPr>
                <w:rFonts w:hint="eastAsia" w:ascii="宋体"/>
                <w:strike w:val="0"/>
                <w:color w:val="000000"/>
                <w:kern w:val="0"/>
                <w:sz w:val="20"/>
                <w:szCs w:val="20"/>
              </w:rPr>
              <w:t>”</w:t>
            </w:r>
            <w:r>
              <w:rPr>
                <w:rFonts w:hint="eastAsia" w:ascii="宋体" w:hAnsi="宋体"/>
                <w:strike w:val="0"/>
                <w:color w:val="000000"/>
                <w:kern w:val="0"/>
                <w:sz w:val="20"/>
                <w:szCs w:val="20"/>
              </w:rPr>
              <w:t>准入条件并完善有关管理规定。</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95"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102</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县农业农村局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动物防疫条件合格证核发</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县级以上地方人民政府兽医行政主管部门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60" w:lineRule="exact"/>
              <w:rPr>
                <w:rFonts w:ascii="宋体"/>
                <w:strike w:val="0"/>
                <w:color w:val="000000"/>
                <w:kern w:val="0"/>
                <w:sz w:val="24"/>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r>
              <w:rPr>
                <w:rFonts w:ascii="宋体"/>
                <w:strike w:val="0"/>
                <w:color w:val="000000"/>
                <w:kern w:val="0"/>
                <w:sz w:val="20"/>
                <w:szCs w:val="20"/>
              </w:rPr>
              <w:br w:type="textWrapping"/>
            </w: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r>
              <w:rPr>
                <w:rFonts w:ascii="宋体"/>
                <w:strike w:val="0"/>
                <w:color w:val="000000"/>
                <w:kern w:val="0"/>
                <w:sz w:val="20"/>
                <w:szCs w:val="20"/>
              </w:rPr>
              <w:br w:type="textWrapping"/>
            </w: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身份证明等材料，允许以畜禽养殖专业合作社名义申请办理动物防疫条件合格证，对同一县区内同种动物所有养殖单元均符合动物防疫条件的合作社统一发放动物防疫条件合格证。</w:t>
            </w:r>
            <w:r>
              <w:rPr>
                <w:rFonts w:ascii="宋体"/>
                <w:strike w:val="0"/>
                <w:color w:val="000000"/>
                <w:kern w:val="0"/>
                <w:sz w:val="20"/>
                <w:szCs w:val="20"/>
              </w:rPr>
              <w:br w:type="textWrapping"/>
            </w: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r>
              <w:rPr>
                <w:rFonts w:ascii="宋体"/>
                <w:strike w:val="0"/>
                <w:color w:val="000000"/>
                <w:kern w:val="0"/>
                <w:sz w:val="20"/>
                <w:szCs w:val="20"/>
              </w:rPr>
              <w:br w:type="textWrapping"/>
            </w: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103</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县交通</w:t>
            </w:r>
          </w:p>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运输局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建设港口设施使用非深水岸线审批（含港口岸线临时使用审批，改变港口岸线使用人、使用功能和使用范围审批）</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县级以上港口行政主管部门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6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推广网上业务办理，推行国土、规划、海事、水利、航道部门并联审批。</w:t>
            </w:r>
          </w:p>
          <w:p>
            <w:pPr>
              <w:widowControl/>
              <w:spacing w:line="26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w:t>
            </w:r>
          </w:p>
          <w:p>
            <w:pPr>
              <w:widowControl/>
              <w:spacing w:line="26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精简审批材料，在线获取核验营业执照、法定代表人身份证明、企业章程等材料。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加强岸线审批，改革岸线退出机制。严格按照经批准的港口规划进行岸线审批，加强日常监督管理；明确因规划调整等原因对征收港口设施的补偿方式及标准。在岸线使用人实质丧失岸线使用权后，岸线管理部门可以采用主动注销方式注销其岸线使用权并通过公告等方式告知公众。</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5.</w:t>
            </w:r>
            <w:r>
              <w:rPr>
                <w:rFonts w:hint="eastAsia" w:ascii="宋体" w:hAnsi="宋体"/>
                <w:strike w:val="0"/>
                <w:color w:val="000000"/>
                <w:kern w:val="0"/>
                <w:sz w:val="20"/>
                <w:szCs w:val="20"/>
              </w:rPr>
              <w:t>公示审批程序、受理条件和办理标准，公开办理进度。</w:t>
            </w:r>
          </w:p>
          <w:p>
            <w:pPr>
              <w:widowControl/>
              <w:spacing w:line="260" w:lineRule="exact"/>
              <w:rPr>
                <w:rFonts w:ascii="宋体"/>
                <w:strike w:val="0"/>
                <w:color w:val="000000"/>
                <w:kern w:val="0"/>
                <w:sz w:val="24"/>
              </w:rPr>
            </w:pPr>
            <w:r>
              <w:rPr>
                <w:rFonts w:ascii="宋体" w:hAnsi="宋体"/>
                <w:strike w:val="0"/>
                <w:color w:val="000000"/>
                <w:kern w:val="0"/>
                <w:sz w:val="20"/>
                <w:szCs w:val="20"/>
              </w:rPr>
              <w:t>6.</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104</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药品进口备案</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口岸所在地药品监督管理部门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精简审批材料，在线获取核验营业执照、本行政区域内药品监管部门出具的进口药品注册证或者进口药品批件、本行政区域内口岸药品检验所出具的最近一次进口药品检验报告书和进口药品通关单等材料。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420"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105</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进口药材登记备案</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口岸所在地药品监督管理部门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bookmarkStart w:id="0" w:name="_GoBack"/>
            <w:bookmarkEnd w:id="0"/>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精简审批材料，在线获取核验营业执照、法定代表人或负责人的身份证明等材料。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4.</w:t>
            </w:r>
            <w:r>
              <w:rPr>
                <w:rFonts w:hint="eastAsia" w:ascii="宋体" w:hAnsi="宋体"/>
                <w:strike w:val="0"/>
                <w:color w:val="000000"/>
                <w:kern w:val="0"/>
                <w:sz w:val="20"/>
                <w:szCs w:val="20"/>
              </w:rPr>
              <w:t>推进部门间信息共享应用，加强事中事后监管。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43" w:hRule="atLeast"/>
        </w:trPr>
        <w:tc>
          <w:tcPr>
            <w:tcW w:w="51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hAnsi="宋体"/>
                <w:strike w:val="0"/>
                <w:color w:val="000000"/>
                <w:kern w:val="0"/>
                <w:sz w:val="20"/>
                <w:szCs w:val="20"/>
              </w:rPr>
              <w:t>106</w:t>
            </w:r>
          </w:p>
        </w:tc>
        <w:tc>
          <w:tcPr>
            <w:tcW w:w="910" w:type="dxa"/>
            <w:tcMar>
              <w:top w:w="0" w:type="dxa"/>
              <w:left w:w="108" w:type="dxa"/>
              <w:bottom w:w="0" w:type="dxa"/>
              <w:right w:w="108" w:type="dxa"/>
            </w:tcMar>
            <w:vAlign w:val="center"/>
          </w:tcPr>
          <w:p>
            <w:pPr>
              <w:widowControl/>
              <w:spacing w:line="240" w:lineRule="exact"/>
              <w:jc w:val="center"/>
              <w:rPr>
                <w:rFonts w:ascii="宋体" w:hAnsi="宋体"/>
                <w:strike w:val="0"/>
                <w:color w:val="000000"/>
                <w:kern w:val="0"/>
                <w:sz w:val="20"/>
                <w:szCs w:val="20"/>
              </w:rPr>
            </w:pPr>
            <w:r>
              <w:rPr>
                <w:rFonts w:hint="eastAsia" w:ascii="宋体" w:hAnsi="宋体"/>
                <w:strike w:val="0"/>
                <w:color w:val="000000"/>
                <w:kern w:val="0"/>
                <w:sz w:val="20"/>
                <w:szCs w:val="20"/>
              </w:rPr>
              <w:t>县市场监督管理局</w:t>
            </w:r>
          </w:p>
        </w:tc>
        <w:tc>
          <w:tcPr>
            <w:tcW w:w="1932"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小餐饮、小食杂、食品小作坊的经营许可</w:t>
            </w:r>
          </w:p>
        </w:tc>
        <w:tc>
          <w:tcPr>
            <w:tcW w:w="1084" w:type="dxa"/>
            <w:tcMar>
              <w:top w:w="0" w:type="dxa"/>
              <w:left w:w="108" w:type="dxa"/>
              <w:bottom w:w="0" w:type="dxa"/>
              <w:right w:w="108" w:type="dxa"/>
            </w:tcMar>
            <w:vAlign w:val="center"/>
          </w:tcPr>
          <w:p>
            <w:pPr>
              <w:widowControl/>
              <w:spacing w:line="240" w:lineRule="exact"/>
              <w:rPr>
                <w:rFonts w:ascii="宋体"/>
                <w:strike w:val="0"/>
                <w:color w:val="000000"/>
                <w:kern w:val="0"/>
                <w:sz w:val="24"/>
              </w:rPr>
            </w:pPr>
            <w:r>
              <w:rPr>
                <w:rFonts w:hint="eastAsia" w:ascii="宋体" w:hAnsi="宋体"/>
                <w:strike w:val="0"/>
                <w:color w:val="000000"/>
                <w:kern w:val="0"/>
                <w:sz w:val="20"/>
                <w:szCs w:val="20"/>
              </w:rPr>
              <w:t>县级人民政府食品药品监管部门（市场监管部门）</w:t>
            </w:r>
          </w:p>
        </w:tc>
        <w:tc>
          <w:tcPr>
            <w:tcW w:w="707"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83"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752"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p>
        </w:tc>
        <w:tc>
          <w:tcPr>
            <w:tcW w:w="814" w:type="dxa"/>
            <w:tcMar>
              <w:top w:w="0" w:type="dxa"/>
              <w:left w:w="108" w:type="dxa"/>
              <w:bottom w:w="0" w:type="dxa"/>
              <w:right w:w="108" w:type="dxa"/>
            </w:tcMar>
            <w:vAlign w:val="center"/>
          </w:tcPr>
          <w:p>
            <w:pPr>
              <w:widowControl/>
              <w:spacing w:line="240" w:lineRule="exact"/>
              <w:jc w:val="center"/>
              <w:rPr>
                <w:rFonts w:ascii="宋体"/>
                <w:strike w:val="0"/>
                <w:color w:val="000000"/>
                <w:kern w:val="0"/>
                <w:sz w:val="24"/>
              </w:rPr>
            </w:pPr>
            <w:r>
              <w:rPr>
                <w:rFonts w:ascii="宋体"/>
                <w:strike w:val="0"/>
                <w:color w:val="000000"/>
                <w:kern w:val="0"/>
                <w:sz w:val="20"/>
                <w:szCs w:val="20"/>
              </w:rPr>
              <w:t> </w:t>
            </w:r>
            <w:r>
              <w:rPr>
                <w:rFonts w:hint="eastAsia" w:ascii="宋体"/>
                <w:strike w:val="0"/>
                <w:color w:val="000000"/>
                <w:kern w:val="0"/>
                <w:sz w:val="20"/>
                <w:szCs w:val="20"/>
              </w:rPr>
              <w:t>√</w:t>
            </w:r>
          </w:p>
        </w:tc>
        <w:tc>
          <w:tcPr>
            <w:tcW w:w="6246" w:type="dxa"/>
            <w:tcMar>
              <w:top w:w="0" w:type="dxa"/>
              <w:left w:w="108" w:type="dxa"/>
              <w:bottom w:w="0" w:type="dxa"/>
              <w:right w:w="108" w:type="dxa"/>
            </w:tcMar>
            <w:vAlign w:val="center"/>
          </w:tcPr>
          <w:p>
            <w:pPr>
              <w:widowControl/>
              <w:spacing w:line="240" w:lineRule="exact"/>
              <w:rPr>
                <w:rFonts w:ascii="宋体"/>
                <w:strike w:val="0"/>
                <w:color w:val="000000"/>
                <w:kern w:val="0"/>
                <w:sz w:val="20"/>
                <w:szCs w:val="20"/>
              </w:rPr>
            </w:pPr>
            <w:r>
              <w:rPr>
                <w:rFonts w:ascii="宋体" w:hAnsi="宋体"/>
                <w:strike w:val="0"/>
                <w:color w:val="000000"/>
                <w:kern w:val="0"/>
                <w:sz w:val="20"/>
                <w:szCs w:val="20"/>
              </w:rPr>
              <w:t>1.</w:t>
            </w:r>
            <w:r>
              <w:rPr>
                <w:rFonts w:hint="eastAsia" w:ascii="宋体" w:hAnsi="宋体"/>
                <w:strike w:val="0"/>
                <w:color w:val="000000"/>
                <w:kern w:val="0"/>
                <w:sz w:val="20"/>
                <w:szCs w:val="20"/>
              </w:rPr>
              <w:t>推广网上业务办理。</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2.</w:t>
            </w:r>
            <w:r>
              <w:rPr>
                <w:rFonts w:hint="eastAsia" w:ascii="宋体" w:hAnsi="宋体"/>
                <w:strike w:val="0"/>
                <w:color w:val="000000"/>
                <w:kern w:val="0"/>
                <w:sz w:val="20"/>
                <w:szCs w:val="20"/>
              </w:rPr>
              <w:t>压缩审批时限，将法定审批时限压缩三分之一。</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3.</w:t>
            </w:r>
            <w:r>
              <w:rPr>
                <w:rFonts w:hint="eastAsia" w:ascii="宋体" w:hAnsi="宋体"/>
                <w:strike w:val="0"/>
                <w:color w:val="000000"/>
                <w:kern w:val="0"/>
                <w:sz w:val="20"/>
                <w:szCs w:val="20"/>
              </w:rPr>
              <w:t>精简审批材料，在线获取核验营业执照、法定代表人或负责人身份证明等材料。</w:t>
            </w:r>
          </w:p>
          <w:p>
            <w:pPr>
              <w:widowControl/>
              <w:spacing w:line="240" w:lineRule="exact"/>
              <w:rPr>
                <w:rFonts w:ascii="宋体"/>
                <w:strike w:val="0"/>
                <w:color w:val="000000"/>
                <w:kern w:val="0"/>
                <w:sz w:val="20"/>
                <w:szCs w:val="20"/>
              </w:rPr>
            </w:pPr>
            <w:r>
              <w:rPr>
                <w:rFonts w:ascii="宋体" w:hAnsi="宋体"/>
                <w:strike w:val="0"/>
                <w:color w:val="000000"/>
                <w:kern w:val="0"/>
                <w:sz w:val="20"/>
                <w:szCs w:val="20"/>
              </w:rPr>
              <w:t>4.</w:t>
            </w:r>
            <w:r>
              <w:rPr>
                <w:rFonts w:hint="eastAsia" w:ascii="宋体" w:hAnsi="宋体"/>
                <w:strike w:val="0"/>
                <w:color w:val="000000"/>
                <w:kern w:val="0"/>
                <w:sz w:val="20"/>
                <w:szCs w:val="20"/>
              </w:rPr>
              <w:t>公示审批程序、受理条件和办理标准，公开办理进度。</w:t>
            </w:r>
          </w:p>
          <w:p>
            <w:pPr>
              <w:widowControl/>
              <w:spacing w:line="240" w:lineRule="exact"/>
              <w:rPr>
                <w:rFonts w:ascii="宋体"/>
                <w:strike w:val="0"/>
                <w:color w:val="000000"/>
                <w:kern w:val="0"/>
                <w:sz w:val="24"/>
              </w:rPr>
            </w:pPr>
            <w:r>
              <w:rPr>
                <w:rFonts w:ascii="宋体" w:hAnsi="宋体"/>
                <w:strike w:val="0"/>
                <w:color w:val="000000"/>
                <w:kern w:val="0"/>
                <w:sz w:val="20"/>
                <w:szCs w:val="20"/>
              </w:rPr>
              <w:t>5.</w:t>
            </w:r>
            <w:r>
              <w:rPr>
                <w:rFonts w:hint="eastAsia" w:ascii="宋体" w:hAnsi="宋体"/>
                <w:strike w:val="0"/>
                <w:color w:val="000000"/>
                <w:kern w:val="0"/>
                <w:sz w:val="20"/>
                <w:szCs w:val="20"/>
              </w:rPr>
              <w:t>推进部门间信息共享应用，加强事中事后监管。</w:t>
            </w:r>
          </w:p>
        </w:tc>
      </w:tr>
    </w:tbl>
    <w:p>
      <w:pPr>
        <w:spacing w:line="20" w:lineRule="exact"/>
        <w:rPr>
          <w:rFonts w:ascii="仿宋_GB2312" w:hAnsi="仿宋_GB2312" w:eastAsia="仿宋_GB2312" w:cs="仿宋_GB2312"/>
          <w:strike w:val="0"/>
          <w:sz w:val="28"/>
          <w:szCs w:val="28"/>
        </w:rPr>
        <w:sectPr>
          <w:footerReference r:id="rId3" w:type="default"/>
          <w:pgSz w:w="16783" w:h="11850" w:orient="landscape"/>
          <w:pgMar w:top="1440" w:right="1463" w:bottom="1440" w:left="1463" w:header="851" w:footer="992" w:gutter="0"/>
          <w:pgNumType w:start="1"/>
          <w:cols w:space="720" w:num="1"/>
          <w:docGrid w:type="lines" w:linePitch="577" w:charSpace="0"/>
        </w:sectPr>
      </w:pPr>
    </w:p>
    <w:p>
      <w:pPr>
        <w:spacing w:line="440" w:lineRule="exact"/>
        <w:rPr>
          <w:rFonts w:ascii="仿宋_GB2312" w:hAnsi="仿宋_GB2312" w:eastAsia="仿宋_GB2312" w:cs="仿宋_GB2312"/>
          <w:strike w:val="0"/>
          <w:sz w:val="28"/>
          <w:szCs w:val="28"/>
        </w:rPr>
      </w:pPr>
    </w:p>
    <w:sectPr>
      <w:pgSz w:w="11850" w:h="16783"/>
      <w:pgMar w:top="2098" w:right="1474" w:bottom="1985" w:left="1588" w:header="851" w:footer="992" w:gutter="0"/>
      <w:cols w:space="720" w:num="1"/>
      <w:docGrid w:linePitch="57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方正粗宋简体">
    <w:altName w:val="宋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trike w:val="0"/>
      </w:rPr>
    </w:pPr>
    <w:r>
      <w:rPr>
        <w:strike w:val="0"/>
      </w:rPr>
      <w:fldChar w:fldCharType="begin"/>
    </w:r>
    <w:r>
      <w:rPr>
        <w:strike w:val="0"/>
      </w:rPr>
      <w:instrText xml:space="preserve"> PAGE   \* MERGEFORMAT </w:instrText>
    </w:r>
    <w:r>
      <w:rPr>
        <w:strike w:val="0"/>
      </w:rPr>
      <w:fldChar w:fldCharType="separate"/>
    </w:r>
    <w:r>
      <w:rPr>
        <w:strike w:val="0"/>
        <w:lang w:val="zh-CN"/>
      </w:rPr>
      <w:t>1</w:t>
    </w:r>
    <w:r>
      <w:rPr>
        <w:strike w:val="0"/>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60"/>
  <w:drawingGridVerticalSpacing w:val="577"/>
  <w:displayHorizontalDrawingGridEvery w:val="0"/>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35FC"/>
    <w:rsid w:val="001944C7"/>
    <w:rsid w:val="003335FC"/>
    <w:rsid w:val="00395E69"/>
    <w:rsid w:val="003A16D6"/>
    <w:rsid w:val="00457ED9"/>
    <w:rsid w:val="00583BA3"/>
    <w:rsid w:val="005C48E1"/>
    <w:rsid w:val="0061375A"/>
    <w:rsid w:val="00650AEB"/>
    <w:rsid w:val="00715D50"/>
    <w:rsid w:val="00716E2D"/>
    <w:rsid w:val="007801FF"/>
    <w:rsid w:val="008B7730"/>
    <w:rsid w:val="00944948"/>
    <w:rsid w:val="009C7FB9"/>
    <w:rsid w:val="00AF0660"/>
    <w:rsid w:val="00B71D51"/>
    <w:rsid w:val="00CE0CDF"/>
    <w:rsid w:val="00D00D87"/>
    <w:rsid w:val="00D61FA6"/>
    <w:rsid w:val="00DA44EF"/>
    <w:rsid w:val="00E10C60"/>
    <w:rsid w:val="00E7131D"/>
    <w:rsid w:val="00E95821"/>
    <w:rsid w:val="00F4142B"/>
    <w:rsid w:val="00FF33CB"/>
    <w:rsid w:val="1152756E"/>
    <w:rsid w:val="53A04296"/>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等线"/>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strike/>
      <w:kern w:val="2"/>
      <w:sz w:val="32"/>
      <w:szCs w:val="32"/>
      <w:lang w:val="en-US" w:eastAsia="zh-CN" w:bidi="ar-SA"/>
    </w:rPr>
  </w:style>
  <w:style w:type="paragraph" w:styleId="2">
    <w:name w:val="heading 2"/>
    <w:basedOn w:val="1"/>
    <w:next w:val="1"/>
    <w:link w:val="13"/>
    <w:unhideWhenUsed/>
    <w:qFormat/>
    <w:uiPriority w:val="0"/>
    <w:pPr>
      <w:spacing w:before="100" w:beforeAutospacing="1" w:after="100" w:afterAutospacing="1"/>
      <w:jc w:val="left"/>
      <w:outlineLvl w:val="1"/>
    </w:pPr>
    <w:rPr>
      <w:rFonts w:hint="eastAsia" w:ascii="宋体" w:hAnsi="宋体" w:cs="宋体"/>
      <w:b/>
      <w:kern w:val="0"/>
      <w:sz w:val="36"/>
      <w:szCs w:val="36"/>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6"/>
    <w:qFormat/>
    <w:uiPriority w:val="0"/>
    <w:pPr>
      <w:ind w:left="100" w:leftChars="2500"/>
    </w:pPr>
    <w:rPr>
      <w:rFonts w:ascii="Times New Roman" w:hAnsi="Times New Roman" w:cs="Times New Roman"/>
      <w:strike w:val="0"/>
    </w:rPr>
  </w:style>
  <w:style w:type="paragraph" w:styleId="4">
    <w:name w:val="Balloon Text"/>
    <w:basedOn w:val="1"/>
    <w:link w:val="17"/>
    <w:qFormat/>
    <w:uiPriority w:val="0"/>
    <w:rPr>
      <w:rFonts w:ascii="Times New Roman" w:hAnsi="Times New Roman" w:eastAsia="仿宋_GB2312" w:cs="Times New Roman"/>
      <w:strike w:val="0"/>
      <w:sz w:val="18"/>
      <w:szCs w:val="18"/>
    </w:rPr>
  </w:style>
  <w:style w:type="paragraph" w:styleId="5">
    <w:name w:val="footer"/>
    <w:basedOn w:val="1"/>
    <w:link w:val="14"/>
    <w:qFormat/>
    <w:uiPriority w:val="99"/>
    <w:pPr>
      <w:tabs>
        <w:tab w:val="center" w:pos="4153"/>
        <w:tab w:val="right" w:pos="8306"/>
      </w:tabs>
      <w:snapToGrid w:val="0"/>
      <w:jc w:val="left"/>
    </w:pPr>
    <w:rPr>
      <w:sz w:val="18"/>
    </w:rPr>
  </w:style>
  <w:style w:type="paragraph" w:styleId="6">
    <w:name w:val="header"/>
    <w:basedOn w:val="1"/>
    <w:link w:val="1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footnote text"/>
    <w:basedOn w:val="1"/>
    <w:link w:val="18"/>
    <w:qFormat/>
    <w:uiPriority w:val="0"/>
    <w:pPr>
      <w:snapToGrid w:val="0"/>
      <w:jc w:val="left"/>
    </w:pPr>
    <w:rPr>
      <w:rFonts w:ascii="Times New Roman" w:hAnsi="Times New Roman" w:cs="Times New Roman"/>
      <w:strike w:val="0"/>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szCs w:val="24"/>
    </w:rPr>
  </w:style>
  <w:style w:type="character" w:styleId="11">
    <w:name w:val="Strong"/>
    <w:basedOn w:val="10"/>
    <w:qFormat/>
    <w:uiPriority w:val="0"/>
  </w:style>
  <w:style w:type="paragraph" w:customStyle="1" w:styleId="12">
    <w:name w:val="公文格式"/>
    <w:basedOn w:val="1"/>
    <w:qFormat/>
    <w:uiPriority w:val="0"/>
    <w:pPr>
      <w:adjustRightInd w:val="0"/>
      <w:snapToGrid w:val="0"/>
      <w:spacing w:line="640" w:lineRule="exact"/>
      <w:ind w:firstLine="420" w:firstLineChars="200"/>
    </w:pPr>
    <w:rPr>
      <w:rFonts w:ascii="仿宋_GB2312" w:hAnsi="仿宋_GB2312" w:eastAsia="仿宋_GB2312" w:cs="仿宋_GB2312"/>
    </w:rPr>
  </w:style>
  <w:style w:type="character" w:customStyle="1" w:styleId="13">
    <w:name w:val="标题 2 Char"/>
    <w:basedOn w:val="10"/>
    <w:link w:val="2"/>
    <w:qFormat/>
    <w:locked/>
    <w:uiPriority w:val="0"/>
    <w:rPr>
      <w:rFonts w:ascii="宋体" w:hAnsi="宋体" w:eastAsia="宋体" w:cs="宋体"/>
      <w:b/>
      <w:strike/>
      <w:sz w:val="36"/>
      <w:szCs w:val="36"/>
    </w:rPr>
  </w:style>
  <w:style w:type="character" w:customStyle="1" w:styleId="14">
    <w:name w:val="页脚 Char"/>
    <w:basedOn w:val="10"/>
    <w:link w:val="5"/>
    <w:qFormat/>
    <w:locked/>
    <w:uiPriority w:val="99"/>
    <w:rPr>
      <w:rFonts w:ascii="Calibri" w:hAnsi="Calibri" w:eastAsia="宋体" w:cs="黑体"/>
      <w:strike/>
      <w:kern w:val="2"/>
      <w:sz w:val="18"/>
      <w:szCs w:val="32"/>
    </w:rPr>
  </w:style>
  <w:style w:type="character" w:customStyle="1" w:styleId="15">
    <w:name w:val="页眉 Char"/>
    <w:basedOn w:val="10"/>
    <w:link w:val="6"/>
    <w:qFormat/>
    <w:locked/>
    <w:uiPriority w:val="0"/>
    <w:rPr>
      <w:rFonts w:ascii="Calibri" w:hAnsi="Calibri" w:eastAsia="宋体" w:cs="黑体"/>
      <w:strike/>
      <w:kern w:val="2"/>
      <w:sz w:val="18"/>
      <w:szCs w:val="32"/>
    </w:rPr>
  </w:style>
  <w:style w:type="character" w:customStyle="1" w:styleId="16">
    <w:name w:val="日期 Char"/>
    <w:basedOn w:val="10"/>
    <w:link w:val="3"/>
    <w:qFormat/>
    <w:uiPriority w:val="0"/>
    <w:rPr>
      <w:rFonts w:ascii="Times New Roman" w:hAnsi="Times New Roman" w:eastAsia="宋体" w:cs="Times New Roman"/>
      <w:kern w:val="2"/>
      <w:sz w:val="32"/>
      <w:szCs w:val="32"/>
    </w:rPr>
  </w:style>
  <w:style w:type="character" w:customStyle="1" w:styleId="17">
    <w:name w:val="批注框文本 Char"/>
    <w:basedOn w:val="10"/>
    <w:link w:val="4"/>
    <w:qFormat/>
    <w:uiPriority w:val="0"/>
    <w:rPr>
      <w:rFonts w:ascii="Times New Roman" w:hAnsi="Times New Roman" w:eastAsia="仿宋_GB2312" w:cs="Times New Roman"/>
      <w:kern w:val="2"/>
      <w:sz w:val="18"/>
      <w:szCs w:val="18"/>
    </w:rPr>
  </w:style>
  <w:style w:type="character" w:customStyle="1" w:styleId="18">
    <w:name w:val="脚注文本 Char"/>
    <w:basedOn w:val="10"/>
    <w:link w:val="7"/>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37</Pages>
  <Words>3468</Words>
  <Characters>19768</Characters>
  <Lines>164</Lines>
  <Paragraphs>46</Paragraphs>
  <TotalTime>109</TotalTime>
  <ScaleCrop>false</ScaleCrop>
  <LinksUpToDate>false</LinksUpToDate>
  <CharactersWithSpaces>23190</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2019-07-30T08:25:00Z</dcterms:created>
  <dc:creator>饰全室美广告饰品店13087325588</dc:creator>
  <cp:lastModifiedBy>Administrator</cp:lastModifiedBy>
  <cp:lastPrinted>2019-08-01T02:20:00Z</cp:lastPrinted>
  <dcterms:modified xsi:type="dcterms:W3CDTF">2019-12-05T02:10:02Z</dcterms:modified>
  <dc:title>湘潭县商事制度改革领导小组文件</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